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E47AEC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GASTOS</w:t>
      </w:r>
      <w:r w:rsidR="00042679">
        <w:rPr>
          <w:rFonts w:ascii="Arial" w:eastAsia="Calibri" w:hAnsi="Arial" w:cs="Arial"/>
          <w:b/>
          <w:spacing w:val="-1"/>
          <w:sz w:val="17"/>
          <w:szCs w:val="17"/>
        </w:rPr>
        <w:t xml:space="preserve">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773A" w:rsidRDefault="001F039E" w:rsidP="006A773A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F039E">
        <w:rPr>
          <w:rFonts w:ascii="Arial" w:eastAsia="Calibri" w:hAnsi="Arial" w:cs="Arial"/>
          <w:spacing w:val="-1"/>
          <w:sz w:val="22"/>
          <w:szCs w:val="17"/>
        </w:rPr>
        <w:t>El Presupuesto de Egresos es el instrumento financiero a través del cual el Gobierno del Estado expresa las prioridades de su gestión para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dar respuesta al encargo que recibió de la sociedad y a las necesidades de las familias queretanas. Para la elaboración del Decreto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Presupuesto de Egresos del Estado de Querétaro para el ejercicio fiscal 201</w:t>
      </w:r>
      <w:r w:rsidR="006A773A">
        <w:rPr>
          <w:rFonts w:ascii="Arial" w:eastAsia="Calibri" w:hAnsi="Arial" w:cs="Arial"/>
          <w:spacing w:val="-1"/>
          <w:sz w:val="22"/>
          <w:szCs w:val="17"/>
        </w:rPr>
        <w:t>8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, se consideró entre otros aspectos, que las expectativas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económicas para 201</w:t>
      </w:r>
      <w:r w:rsidR="006A773A">
        <w:rPr>
          <w:rFonts w:ascii="Arial" w:eastAsia="Calibri" w:hAnsi="Arial" w:cs="Arial"/>
          <w:spacing w:val="-1"/>
          <w:sz w:val="22"/>
          <w:szCs w:val="17"/>
        </w:rPr>
        <w:t>8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 xml:space="preserve">, estimaban un crecimiento del Producto Interno Bruto de 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entre </w:t>
      </w:r>
      <w:r w:rsidR="006A773A">
        <w:rPr>
          <w:rFonts w:ascii="Arial" w:eastAsia="Calibri" w:hAnsi="Arial" w:cs="Arial"/>
          <w:spacing w:val="-1"/>
          <w:sz w:val="22"/>
          <w:szCs w:val="17"/>
        </w:rPr>
        <w:t>2% y de 3% así como una inflación de 4.8% anual.</w:t>
      </w:r>
    </w:p>
    <w:p w:rsidR="001F039E" w:rsidRDefault="001F039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BA6780" w:rsidP="00BA6780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l Decreto de Presupuesto de Egresos del Estado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de Quer</w:t>
      </w:r>
      <w:r>
        <w:rPr>
          <w:rFonts w:ascii="Arial" w:eastAsia="Calibri" w:hAnsi="Arial" w:cs="Arial"/>
          <w:spacing w:val="-1"/>
          <w:sz w:val="22"/>
          <w:szCs w:val="17"/>
        </w:rPr>
        <w:t>étaro ascendió a $40</w:t>
      </w:r>
      <w:proofErr w:type="gramStart"/>
      <w:r>
        <w:rPr>
          <w:rFonts w:ascii="Arial" w:eastAsia="Calibri" w:hAnsi="Arial" w:cs="Arial"/>
          <w:spacing w:val="-1"/>
          <w:sz w:val="22"/>
          <w:szCs w:val="17"/>
        </w:rPr>
        <w:t>,107,131,167</w:t>
      </w:r>
      <w:proofErr w:type="gramEnd"/>
      <w:r w:rsidR="00C16143">
        <w:rPr>
          <w:rFonts w:ascii="Arial" w:eastAsia="Calibri" w:hAnsi="Arial" w:cs="Arial"/>
          <w:spacing w:val="-1"/>
          <w:sz w:val="22"/>
          <w:szCs w:val="17"/>
        </w:rPr>
        <w:t>,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el cual incluye el Financiamiento Propio a que hace referencia la Ley de Ingresos del Estado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BA6780">
        <w:rPr>
          <w:rFonts w:ascii="Arial" w:eastAsia="Calibri" w:hAnsi="Arial" w:cs="Arial"/>
          <w:spacing w:val="-1"/>
          <w:sz w:val="22"/>
          <w:szCs w:val="17"/>
        </w:rPr>
        <w:t>Querétaro para el ejercicio fiscal de 2018,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C16143"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="00C16143"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FB020F" w:rsidRDefault="00FB020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C3C35" w:rsidRDefault="007C5842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En el ejercicio 2018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se destaca un</w:t>
      </w:r>
      <w:r w:rsidR="00857337">
        <w:rPr>
          <w:rFonts w:ascii="Arial" w:eastAsia="Calibri" w:hAnsi="Arial" w:cs="Arial"/>
          <w:spacing w:val="-1"/>
          <w:sz w:val="22"/>
          <w:szCs w:val="17"/>
        </w:rPr>
        <w:t>a disminución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en los gastos pr</w:t>
      </w:r>
      <w:r w:rsidR="00FB020F">
        <w:rPr>
          <w:rFonts w:ascii="Arial" w:eastAsia="Calibri" w:hAnsi="Arial" w:cs="Arial"/>
          <w:spacing w:val="-1"/>
          <w:sz w:val="22"/>
          <w:szCs w:val="17"/>
        </w:rPr>
        <w:t xml:space="preserve">esupuestarios devengados en un </w:t>
      </w:r>
      <w:r w:rsidR="00655183">
        <w:rPr>
          <w:rFonts w:ascii="Arial" w:eastAsia="Calibri" w:hAnsi="Arial" w:cs="Arial"/>
          <w:spacing w:val="-1"/>
          <w:sz w:val="22"/>
          <w:szCs w:val="17"/>
        </w:rPr>
        <w:t>6.38</w:t>
      </w:r>
      <w:bookmarkStart w:id="0" w:name="_GoBack"/>
      <w:bookmarkEnd w:id="0"/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% en relación a lo aprobado. El detalle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se presenta en la 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FB020F" w:rsidRPr="00FB020F" w:rsidRDefault="00FB020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FB020F">
        <w:rPr>
          <w:rFonts w:ascii="Arial" w:eastAsia="Calibri" w:hAnsi="Arial" w:cs="Arial"/>
          <w:spacing w:val="-1"/>
          <w:sz w:val="22"/>
          <w:szCs w:val="17"/>
        </w:rPr>
        <w:lastRenderedPageBreak/>
        <w:t>Cabe destacar que el devengado de la amortización e intereses de la deuda</w:t>
      </w:r>
      <w:r w:rsidR="000D0EFF">
        <w:rPr>
          <w:rFonts w:ascii="Arial" w:eastAsia="Calibri" w:hAnsi="Arial" w:cs="Arial"/>
          <w:spacing w:val="-1"/>
          <w:sz w:val="22"/>
          <w:szCs w:val="17"/>
        </w:rPr>
        <w:t>, f</w:t>
      </w:r>
      <w:r w:rsidR="00732D22">
        <w:rPr>
          <w:rFonts w:ascii="Arial" w:eastAsia="Calibri" w:hAnsi="Arial" w:cs="Arial"/>
          <w:spacing w:val="-1"/>
          <w:sz w:val="22"/>
          <w:szCs w:val="17"/>
        </w:rPr>
        <w:t xml:space="preserve">ue mayor a lo aprobado por </w:t>
      </w:r>
      <w:r w:rsidR="00857337">
        <w:rPr>
          <w:rFonts w:ascii="Arial" w:eastAsia="Calibri" w:hAnsi="Arial" w:cs="Arial"/>
          <w:spacing w:val="-1"/>
          <w:sz w:val="22"/>
          <w:szCs w:val="17"/>
        </w:rPr>
        <w:t>3.85</w:t>
      </w:r>
      <w:r w:rsidRPr="00FB020F">
        <w:rPr>
          <w:rFonts w:ascii="Arial" w:eastAsia="Calibri" w:hAnsi="Arial" w:cs="Arial"/>
          <w:spacing w:val="-1"/>
          <w:sz w:val="22"/>
          <w:szCs w:val="17"/>
        </w:rPr>
        <w:t>%</w:t>
      </w:r>
    </w:p>
    <w:p w:rsidR="000D0EFF" w:rsidRDefault="000D0EF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0D0EFF" w:rsidRDefault="000D0EFF" w:rsidP="000D0EFF">
      <w:pPr>
        <w:autoSpaceDE w:val="0"/>
        <w:autoSpaceDN w:val="0"/>
        <w:adjustRightInd w:val="0"/>
        <w:spacing w:line="480" w:lineRule="auto"/>
        <w:ind w:left="1418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47CA6A58" wp14:editId="3B5E857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9D6188">
      <w:pPr>
        <w:rPr>
          <w:rFonts w:ascii="Arial" w:eastAsia="Calibri" w:hAnsi="Arial" w:cs="Arial"/>
          <w:spacing w:val="-1"/>
          <w:sz w:val="22"/>
          <w:szCs w:val="17"/>
        </w:rPr>
      </w:pPr>
    </w:p>
    <w:sectPr w:rsidR="002D516D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69" w:rsidRDefault="008D4A69">
      <w:r>
        <w:separator/>
      </w:r>
    </w:p>
  </w:endnote>
  <w:endnote w:type="continuationSeparator" w:id="0">
    <w:p w:rsidR="008D4A69" w:rsidRDefault="008D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D6188">
      <w:rPr>
        <w:rFonts w:ascii="Avenir LT Std 45 Book" w:hAnsi="Avenir LT Std 45 Book" w:cs="Arial"/>
        <w:color w:val="808080"/>
        <w:szCs w:val="20"/>
      </w:rPr>
      <w:t>E</w:t>
    </w:r>
    <w:r w:rsidR="00042679"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5518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55183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8" w:rsidRPr="002809DB" w:rsidRDefault="009D6188" w:rsidP="009D6188">
    <w:pPr>
      <w:rPr>
        <w:rFonts w:ascii="Soberana Sans Light" w:hAnsi="Soberana Sans Light"/>
        <w:b/>
        <w:sz w:val="20"/>
        <w:szCs w:val="20"/>
      </w:rPr>
    </w:pPr>
  </w:p>
  <w:p w:rsidR="009D6188" w:rsidRPr="00CF00D0" w:rsidRDefault="009D6188" w:rsidP="009D61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0D27CF" wp14:editId="24BCFD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2429D21" id="Rectángulo 13" o:spid="_x0000_s1026" style="position:absolute;margin-left:-1.5pt;margin-top:16.2pt;width:664.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O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</w:p>
  <w:p w:rsidR="009D6188" w:rsidRDefault="009D6188" w:rsidP="009D6188"/>
  <w:p w:rsidR="009D6188" w:rsidRPr="00CF00D0" w:rsidRDefault="009D6188" w:rsidP="009D6188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EGRESOS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55183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55183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69" w:rsidRDefault="008D4A69">
      <w:r>
        <w:separator/>
      </w:r>
    </w:p>
  </w:footnote>
  <w:footnote w:type="continuationSeparator" w:id="0">
    <w:p w:rsidR="008D4A69" w:rsidRDefault="008D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6A773A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6A773A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C7B0B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4E3A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4E8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183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73A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2D22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7A7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842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57337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4A69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19DC"/>
    <w:rsid w:val="008F2E30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8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E7ACD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478EA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04EA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780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010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521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6E6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498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233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D7A3D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0407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568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Erogaciones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6877962-1AA7-43C7-9394-617EAA3B826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B4-445E-A142-E8E92D6E81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37546904193</c:v>
                </c:pt>
                <c:pt idx="1">
                  <c:v>40107131167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4-445E-A142-E8E92D6E81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299660480"/>
        <c:axId val="-1299653952"/>
      </c:barChart>
      <c:catAx>
        <c:axId val="-12996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99653952"/>
        <c:crosses val="autoZero"/>
        <c:auto val="1"/>
        <c:lblAlgn val="ctr"/>
        <c:lblOffset val="100"/>
        <c:noMultiLvlLbl val="0"/>
      </c:catAx>
      <c:valAx>
        <c:axId val="-129965395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129966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Amortización e Intereses de la Deuda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239459406</c:v>
                </c:pt>
                <c:pt idx="1">
                  <c:v>230589330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1-4367-8786-7BB512DB2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153592096"/>
        <c:axId val="-1153591008"/>
      </c:barChart>
      <c:catAx>
        <c:axId val="-115359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53591008"/>
        <c:crosses val="autoZero"/>
        <c:auto val="1"/>
        <c:lblAlgn val="ctr"/>
        <c:lblOffset val="100"/>
        <c:noMultiLvlLbl val="0"/>
      </c:catAx>
      <c:valAx>
        <c:axId val="-115359100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115359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4A6429-A853-44CF-85A8-13499BE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11</cp:revision>
  <cp:lastPrinted>2019-02-21T00:08:00Z</cp:lastPrinted>
  <dcterms:created xsi:type="dcterms:W3CDTF">2018-02-21T01:27:00Z</dcterms:created>
  <dcterms:modified xsi:type="dcterms:W3CDTF">2019-02-24T14:24:00Z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