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DE" w:rsidRDefault="007B4672" w:rsidP="007B4672">
      <w:pPr>
        <w:autoSpaceDE w:val="0"/>
        <w:autoSpaceDN w:val="0"/>
        <w:adjustRightInd w:val="0"/>
        <w:jc w:val="center"/>
        <w:rPr>
          <w:rFonts w:ascii="Arial" w:eastAsia="Calibri" w:hAnsi="Arial" w:cs="Arial"/>
          <w:b/>
          <w:spacing w:val="-1"/>
          <w:sz w:val="17"/>
          <w:szCs w:val="17"/>
        </w:rPr>
      </w:pPr>
      <w:bookmarkStart w:id="0" w:name="_GoBack"/>
      <w:bookmarkEnd w:id="0"/>
      <w:r>
        <w:rPr>
          <w:rFonts w:ascii="Arial" w:eastAsia="Calibri" w:hAnsi="Arial" w:cs="Arial"/>
          <w:b/>
          <w:spacing w:val="-1"/>
          <w:sz w:val="17"/>
          <w:szCs w:val="17"/>
        </w:rPr>
        <w:t>PANORAMA ECONÓMICO</w:t>
      </w:r>
    </w:p>
    <w:p w:rsidR="007B4672" w:rsidRPr="007B4672" w:rsidRDefault="007B4672" w:rsidP="007B4672">
      <w:pPr>
        <w:autoSpaceDE w:val="0"/>
        <w:autoSpaceDN w:val="0"/>
        <w:adjustRightInd w:val="0"/>
        <w:jc w:val="center"/>
        <w:rPr>
          <w:rFonts w:ascii="Arial" w:eastAsia="Calibri" w:hAnsi="Arial" w:cs="Arial"/>
          <w:b/>
          <w:spacing w:val="-1"/>
          <w:sz w:val="17"/>
          <w:szCs w:val="17"/>
        </w:rPr>
      </w:pPr>
    </w:p>
    <w:p w:rsidR="004C66A7" w:rsidRDefault="004C66A7" w:rsidP="00AA10DE">
      <w:pPr>
        <w:autoSpaceDE w:val="0"/>
        <w:autoSpaceDN w:val="0"/>
        <w:adjustRightInd w:val="0"/>
        <w:jc w:val="both"/>
        <w:rPr>
          <w:rFonts w:ascii="Arial" w:eastAsia="Calibri" w:hAnsi="Arial" w:cs="Arial"/>
          <w:spacing w:val="-1"/>
          <w:sz w:val="17"/>
          <w:szCs w:val="17"/>
        </w:rPr>
      </w:pPr>
    </w:p>
    <w:p w:rsidR="00AA10DE" w:rsidRPr="00357BAC" w:rsidRDefault="00AA10DE" w:rsidP="004C66A7">
      <w:pPr>
        <w:autoSpaceDE w:val="0"/>
        <w:autoSpaceDN w:val="0"/>
        <w:adjustRightInd w:val="0"/>
        <w:spacing w:line="480" w:lineRule="auto"/>
        <w:jc w:val="both"/>
        <w:rPr>
          <w:rFonts w:ascii="Arial" w:eastAsia="Calibri" w:hAnsi="Arial" w:cs="Arial"/>
          <w:spacing w:val="-1"/>
          <w:sz w:val="22"/>
          <w:szCs w:val="17"/>
        </w:rPr>
      </w:pPr>
      <w:r w:rsidRPr="00357BAC">
        <w:rPr>
          <w:rFonts w:ascii="Arial" w:eastAsia="Calibri" w:hAnsi="Arial" w:cs="Arial"/>
          <w:spacing w:val="-1"/>
          <w:sz w:val="22"/>
          <w:szCs w:val="17"/>
        </w:rPr>
        <w:t>Las finanzas públicas sanas son un principio de buen gobierno porque aseguran el desarrollo de la Entidad, bajo esta premisa, las expectativa</w:t>
      </w:r>
      <w:r w:rsidR="00FB0CEB">
        <w:rPr>
          <w:rFonts w:ascii="Arial" w:eastAsia="Calibri" w:hAnsi="Arial" w:cs="Arial"/>
          <w:spacing w:val="-1"/>
          <w:sz w:val="22"/>
          <w:szCs w:val="17"/>
        </w:rPr>
        <w:t>s económicas para 2018</w:t>
      </w:r>
      <w:r w:rsidRPr="00357BAC">
        <w:rPr>
          <w:rFonts w:ascii="Arial" w:eastAsia="Calibri" w:hAnsi="Arial" w:cs="Arial"/>
          <w:spacing w:val="-1"/>
          <w:sz w:val="22"/>
          <w:szCs w:val="17"/>
        </w:rPr>
        <w:t xml:space="preserve"> estimaron un crecimiento del </w:t>
      </w:r>
      <w:r w:rsidR="002739FA" w:rsidRPr="00357BAC">
        <w:rPr>
          <w:rFonts w:ascii="Arial" w:eastAsia="Calibri" w:hAnsi="Arial" w:cs="Arial"/>
          <w:spacing w:val="-1"/>
          <w:sz w:val="22"/>
          <w:szCs w:val="17"/>
        </w:rPr>
        <w:t xml:space="preserve">Producto Interno Bruto (PIB) </w:t>
      </w:r>
      <w:r w:rsidR="00DB6BF6" w:rsidRPr="00357BAC">
        <w:rPr>
          <w:rFonts w:ascii="Arial" w:eastAsia="Calibri" w:hAnsi="Arial" w:cs="Arial"/>
          <w:spacing w:val="-1"/>
          <w:sz w:val="22"/>
          <w:szCs w:val="17"/>
        </w:rPr>
        <w:t>entre 2</w:t>
      </w:r>
      <w:r w:rsidR="009C58B3" w:rsidRPr="00357BAC">
        <w:rPr>
          <w:rFonts w:ascii="Arial" w:eastAsia="Calibri" w:hAnsi="Arial" w:cs="Arial"/>
          <w:spacing w:val="-1"/>
          <w:sz w:val="22"/>
          <w:szCs w:val="17"/>
        </w:rPr>
        <w:t xml:space="preserve">% </w:t>
      </w:r>
      <w:r w:rsidR="00DB6BF6" w:rsidRPr="00357BAC">
        <w:rPr>
          <w:rFonts w:ascii="Arial" w:eastAsia="Calibri" w:hAnsi="Arial" w:cs="Arial"/>
          <w:spacing w:val="-1"/>
          <w:sz w:val="22"/>
          <w:szCs w:val="17"/>
        </w:rPr>
        <w:t xml:space="preserve">al </w:t>
      </w:r>
      <w:r w:rsidR="00FB0CEB">
        <w:rPr>
          <w:rFonts w:ascii="Arial" w:eastAsia="Calibri" w:hAnsi="Arial" w:cs="Arial"/>
          <w:spacing w:val="-1"/>
          <w:sz w:val="22"/>
          <w:szCs w:val="17"/>
        </w:rPr>
        <w:t>3</w:t>
      </w:r>
      <w:r w:rsidRPr="00357BAC">
        <w:rPr>
          <w:rFonts w:ascii="Arial" w:eastAsia="Calibri" w:hAnsi="Arial" w:cs="Arial"/>
          <w:spacing w:val="-1"/>
          <w:sz w:val="22"/>
          <w:szCs w:val="17"/>
        </w:rPr>
        <w:t>% y una inflación de</w:t>
      </w:r>
      <w:r w:rsidR="004B253E" w:rsidRPr="00357BAC">
        <w:rPr>
          <w:rFonts w:ascii="Arial" w:eastAsia="Calibri" w:hAnsi="Arial" w:cs="Arial"/>
          <w:spacing w:val="-1"/>
          <w:sz w:val="22"/>
          <w:szCs w:val="17"/>
        </w:rPr>
        <w:t>l</w:t>
      </w:r>
      <w:r w:rsidRPr="00357BAC">
        <w:rPr>
          <w:rFonts w:ascii="Arial" w:eastAsia="Calibri" w:hAnsi="Arial" w:cs="Arial"/>
          <w:spacing w:val="-1"/>
          <w:sz w:val="22"/>
          <w:szCs w:val="17"/>
        </w:rPr>
        <w:t xml:space="preserve"> </w:t>
      </w:r>
      <w:r w:rsidR="00FB0CEB">
        <w:rPr>
          <w:rFonts w:ascii="Arial" w:eastAsia="Calibri" w:hAnsi="Arial" w:cs="Arial"/>
          <w:spacing w:val="-1"/>
          <w:sz w:val="22"/>
          <w:szCs w:val="17"/>
        </w:rPr>
        <w:t>4.8</w:t>
      </w:r>
      <w:r w:rsidRPr="00357BAC">
        <w:rPr>
          <w:rFonts w:ascii="Arial" w:eastAsia="Calibri" w:hAnsi="Arial" w:cs="Arial"/>
          <w:spacing w:val="-1"/>
          <w:sz w:val="22"/>
          <w:szCs w:val="17"/>
        </w:rPr>
        <w:t>%. Asimismo, el precio de la mezcla mexicana de exportación d</w:t>
      </w:r>
      <w:r w:rsidR="00FB0CEB">
        <w:rPr>
          <w:rFonts w:ascii="Arial" w:eastAsia="Calibri" w:hAnsi="Arial" w:cs="Arial"/>
          <w:spacing w:val="-1"/>
          <w:sz w:val="22"/>
          <w:szCs w:val="17"/>
        </w:rPr>
        <w:t>e petróleo crudo se estimó en 48.5</w:t>
      </w:r>
      <w:r w:rsidR="00407227" w:rsidRPr="00357BAC">
        <w:rPr>
          <w:rFonts w:ascii="Arial" w:eastAsia="Calibri" w:hAnsi="Arial" w:cs="Arial"/>
          <w:spacing w:val="-1"/>
          <w:sz w:val="22"/>
          <w:szCs w:val="17"/>
        </w:rPr>
        <w:t xml:space="preserve"> dólares por barril</w:t>
      </w:r>
      <w:r w:rsidR="008340D8">
        <w:rPr>
          <w:rFonts w:ascii="Arial" w:eastAsia="Calibri" w:hAnsi="Arial" w:cs="Arial"/>
          <w:spacing w:val="-1"/>
          <w:sz w:val="22"/>
          <w:szCs w:val="17"/>
        </w:rPr>
        <w:t xml:space="preserve"> y el tipo de cambio a $18.1</w:t>
      </w:r>
      <w:r w:rsidR="00A01C61" w:rsidRPr="00357BAC">
        <w:rPr>
          <w:rFonts w:ascii="Arial" w:eastAsia="Calibri" w:hAnsi="Arial" w:cs="Arial"/>
          <w:spacing w:val="-1"/>
          <w:sz w:val="22"/>
          <w:szCs w:val="17"/>
        </w:rPr>
        <w:t xml:space="preserve"> por dólar.</w:t>
      </w:r>
    </w:p>
    <w:p w:rsidR="00AA10DE" w:rsidRPr="00357BAC" w:rsidRDefault="00AA10DE" w:rsidP="00AA10DE">
      <w:pPr>
        <w:autoSpaceDE w:val="0"/>
        <w:autoSpaceDN w:val="0"/>
        <w:adjustRightInd w:val="0"/>
        <w:jc w:val="both"/>
        <w:rPr>
          <w:rFonts w:ascii="Arial" w:eastAsia="Calibri" w:hAnsi="Arial" w:cs="Arial"/>
          <w:spacing w:val="-1"/>
          <w:sz w:val="22"/>
          <w:szCs w:val="17"/>
        </w:rPr>
      </w:pPr>
    </w:p>
    <w:p w:rsidR="00727488" w:rsidRDefault="00AA10DE" w:rsidP="004C66A7">
      <w:pPr>
        <w:autoSpaceDE w:val="0"/>
        <w:autoSpaceDN w:val="0"/>
        <w:adjustRightInd w:val="0"/>
        <w:spacing w:line="480" w:lineRule="auto"/>
        <w:jc w:val="both"/>
        <w:rPr>
          <w:rFonts w:ascii="Arial" w:eastAsia="Calibri" w:hAnsi="Arial" w:cs="Arial"/>
          <w:spacing w:val="-1"/>
          <w:sz w:val="22"/>
          <w:szCs w:val="17"/>
        </w:rPr>
      </w:pPr>
      <w:r w:rsidRPr="00357BAC">
        <w:rPr>
          <w:rFonts w:ascii="Arial" w:eastAsia="Calibri" w:hAnsi="Arial" w:cs="Arial"/>
          <w:spacing w:val="-1"/>
          <w:sz w:val="22"/>
          <w:szCs w:val="17"/>
        </w:rPr>
        <w:t xml:space="preserve">Cabe señalar </w:t>
      </w:r>
      <w:r w:rsidR="008340D8">
        <w:rPr>
          <w:rFonts w:ascii="Arial" w:eastAsia="Calibri" w:hAnsi="Arial" w:cs="Arial"/>
          <w:spacing w:val="-1"/>
          <w:sz w:val="22"/>
          <w:szCs w:val="17"/>
        </w:rPr>
        <w:t>que al cierre del ejercicio 2018</w:t>
      </w:r>
      <w:r w:rsidRPr="00357BAC">
        <w:rPr>
          <w:rFonts w:ascii="Arial" w:eastAsia="Calibri" w:hAnsi="Arial" w:cs="Arial"/>
          <w:spacing w:val="-1"/>
          <w:sz w:val="22"/>
          <w:szCs w:val="17"/>
        </w:rPr>
        <w:t>, de acuerdo a cifras publicadas por el Banco de México</w:t>
      </w:r>
      <w:r w:rsidR="006A4C14">
        <w:rPr>
          <w:rFonts w:ascii="Arial" w:eastAsia="Calibri" w:hAnsi="Arial" w:cs="Arial"/>
          <w:spacing w:val="-1"/>
          <w:sz w:val="22"/>
          <w:szCs w:val="17"/>
        </w:rPr>
        <w:t xml:space="preserve"> (Banxico)</w:t>
      </w:r>
      <w:r w:rsidR="00521453">
        <w:rPr>
          <w:rFonts w:ascii="Arial" w:eastAsia="Calibri" w:hAnsi="Arial" w:cs="Arial"/>
          <w:spacing w:val="-1"/>
          <w:sz w:val="22"/>
          <w:szCs w:val="17"/>
        </w:rPr>
        <w:t xml:space="preserve"> en su portal de internet</w:t>
      </w:r>
      <w:r w:rsidRPr="00357BAC">
        <w:rPr>
          <w:rFonts w:ascii="Arial" w:eastAsia="Calibri" w:hAnsi="Arial" w:cs="Arial"/>
          <w:spacing w:val="-1"/>
          <w:sz w:val="22"/>
          <w:szCs w:val="17"/>
        </w:rPr>
        <w:t xml:space="preserve">, la inflación acumulada </w:t>
      </w:r>
      <w:r w:rsidR="00521453">
        <w:rPr>
          <w:rFonts w:ascii="Arial" w:eastAsia="Calibri" w:hAnsi="Arial" w:cs="Arial"/>
          <w:spacing w:val="-1"/>
          <w:sz w:val="22"/>
          <w:szCs w:val="17"/>
        </w:rPr>
        <w:t>anual a diciembre del 2018</w:t>
      </w:r>
      <w:r w:rsidR="00E76FD5" w:rsidRPr="00357BAC">
        <w:rPr>
          <w:rFonts w:ascii="Arial" w:eastAsia="Calibri" w:hAnsi="Arial" w:cs="Arial"/>
          <w:spacing w:val="-1"/>
          <w:sz w:val="22"/>
          <w:szCs w:val="17"/>
        </w:rPr>
        <w:t xml:space="preserve"> fue de </w:t>
      </w:r>
      <w:r w:rsidR="008340D8">
        <w:rPr>
          <w:rFonts w:ascii="Arial" w:eastAsia="Calibri" w:hAnsi="Arial" w:cs="Arial"/>
          <w:spacing w:val="-1"/>
          <w:sz w:val="22"/>
          <w:szCs w:val="17"/>
        </w:rPr>
        <w:t>4.83</w:t>
      </w:r>
      <w:r w:rsidR="00195546">
        <w:rPr>
          <w:rFonts w:ascii="Arial" w:eastAsia="Calibri" w:hAnsi="Arial" w:cs="Arial"/>
          <w:spacing w:val="-1"/>
          <w:sz w:val="22"/>
          <w:szCs w:val="17"/>
        </w:rPr>
        <w:t xml:space="preserve">% </w:t>
      </w:r>
      <w:r w:rsidR="00521453">
        <w:rPr>
          <w:rFonts w:ascii="Arial" w:eastAsia="Calibri" w:hAnsi="Arial" w:cs="Arial"/>
          <w:spacing w:val="-1"/>
          <w:sz w:val="22"/>
          <w:szCs w:val="17"/>
        </w:rPr>
        <w:t xml:space="preserve">y el tipo de cambio FIX cerró en diciembre </w:t>
      </w:r>
      <w:r w:rsidR="00195546">
        <w:rPr>
          <w:rFonts w:ascii="Arial" w:eastAsia="Calibri" w:hAnsi="Arial" w:cs="Arial"/>
          <w:spacing w:val="-1"/>
          <w:sz w:val="22"/>
          <w:szCs w:val="17"/>
        </w:rPr>
        <w:t xml:space="preserve">en </w:t>
      </w:r>
      <w:r w:rsidR="00521453">
        <w:rPr>
          <w:rFonts w:ascii="Arial" w:eastAsia="Calibri" w:hAnsi="Arial" w:cs="Arial"/>
          <w:spacing w:val="-1"/>
          <w:sz w:val="22"/>
          <w:szCs w:val="17"/>
        </w:rPr>
        <w:t>$19.6512</w:t>
      </w:r>
      <w:r w:rsidR="006210E5">
        <w:rPr>
          <w:rFonts w:ascii="Arial" w:eastAsia="Calibri" w:hAnsi="Arial" w:cs="Arial"/>
          <w:spacing w:val="-1"/>
          <w:sz w:val="22"/>
          <w:szCs w:val="17"/>
        </w:rPr>
        <w:t xml:space="preserve">; </w:t>
      </w:r>
      <w:r w:rsidR="00195546">
        <w:rPr>
          <w:rFonts w:ascii="Arial" w:eastAsia="Calibri" w:hAnsi="Arial" w:cs="Arial"/>
          <w:spacing w:val="-1"/>
          <w:sz w:val="22"/>
          <w:szCs w:val="17"/>
        </w:rPr>
        <w:t>según su último informe trimestral publicado a finales de noviembre de 2018, el cual corresponde al tercer trimestre de 2018</w:t>
      </w:r>
      <w:r w:rsidR="006210E5">
        <w:rPr>
          <w:rFonts w:ascii="Arial" w:eastAsia="Calibri" w:hAnsi="Arial" w:cs="Arial"/>
          <w:spacing w:val="-1"/>
          <w:sz w:val="22"/>
          <w:szCs w:val="17"/>
        </w:rPr>
        <w:t xml:space="preserve"> (</w:t>
      </w:r>
      <w:r w:rsidR="00212AA9">
        <w:rPr>
          <w:rFonts w:ascii="Arial" w:eastAsia="Calibri" w:hAnsi="Arial" w:cs="Arial"/>
          <w:spacing w:val="-1"/>
          <w:sz w:val="22"/>
          <w:szCs w:val="17"/>
        </w:rPr>
        <w:t>3T-2018)</w:t>
      </w:r>
      <w:r w:rsidR="00195546">
        <w:rPr>
          <w:rFonts w:ascii="Arial" w:eastAsia="Calibri" w:hAnsi="Arial" w:cs="Arial"/>
          <w:spacing w:val="-1"/>
          <w:sz w:val="22"/>
          <w:szCs w:val="17"/>
        </w:rPr>
        <w:t>, Banxico cita lo siguiente</w:t>
      </w:r>
      <w:r w:rsidR="00727488">
        <w:rPr>
          <w:rFonts w:ascii="Arial" w:eastAsia="Calibri" w:hAnsi="Arial" w:cs="Arial"/>
          <w:spacing w:val="-1"/>
          <w:sz w:val="22"/>
          <w:szCs w:val="17"/>
        </w:rPr>
        <w:t>:</w:t>
      </w:r>
    </w:p>
    <w:p w:rsidR="00212AA9" w:rsidRDefault="00212AA9" w:rsidP="006F5671">
      <w:pPr>
        <w:pStyle w:val="Prrafodelista"/>
        <w:numPr>
          <w:ilvl w:val="0"/>
          <w:numId w:val="45"/>
        </w:numPr>
        <w:autoSpaceDE w:val="0"/>
        <w:autoSpaceDN w:val="0"/>
        <w:adjustRightInd w:val="0"/>
        <w:spacing w:line="480" w:lineRule="auto"/>
        <w:jc w:val="both"/>
        <w:rPr>
          <w:rFonts w:ascii="Arial" w:eastAsia="Calibri" w:hAnsi="Arial" w:cs="Arial"/>
          <w:spacing w:val="-1"/>
          <w:sz w:val="22"/>
          <w:szCs w:val="17"/>
        </w:rPr>
      </w:pPr>
      <w:r w:rsidRPr="00212AA9">
        <w:rPr>
          <w:rFonts w:ascii="Arial" w:eastAsia="Calibri" w:hAnsi="Arial" w:cs="Arial"/>
          <w:spacing w:val="-1"/>
          <w:sz w:val="22"/>
          <w:szCs w:val="17"/>
        </w:rPr>
        <w:t>Durante</w:t>
      </w:r>
      <w:r>
        <w:rPr>
          <w:rFonts w:ascii="Arial" w:eastAsia="Calibri" w:hAnsi="Arial" w:cs="Arial"/>
          <w:spacing w:val="-1"/>
          <w:sz w:val="22"/>
          <w:szCs w:val="17"/>
        </w:rPr>
        <w:t xml:space="preserve"> </w:t>
      </w:r>
      <w:r w:rsidRPr="00212AA9">
        <w:rPr>
          <w:rFonts w:ascii="Arial" w:eastAsia="Calibri" w:hAnsi="Arial" w:cs="Arial"/>
          <w:spacing w:val="-1"/>
          <w:sz w:val="22"/>
          <w:szCs w:val="17"/>
        </w:rPr>
        <w:t>el</w:t>
      </w:r>
      <w:r>
        <w:rPr>
          <w:rFonts w:ascii="Arial" w:eastAsia="Calibri" w:hAnsi="Arial" w:cs="Arial"/>
          <w:spacing w:val="-1"/>
          <w:sz w:val="22"/>
          <w:szCs w:val="17"/>
        </w:rPr>
        <w:t xml:space="preserve"> </w:t>
      </w:r>
      <w:r w:rsidRPr="00212AA9">
        <w:rPr>
          <w:rFonts w:ascii="Arial" w:eastAsia="Calibri" w:hAnsi="Arial" w:cs="Arial"/>
          <w:spacing w:val="-1"/>
          <w:sz w:val="22"/>
          <w:szCs w:val="17"/>
        </w:rPr>
        <w:t>3T-2018,</w:t>
      </w:r>
      <w:r>
        <w:rPr>
          <w:rFonts w:ascii="Arial" w:eastAsia="Calibri" w:hAnsi="Arial" w:cs="Arial"/>
          <w:spacing w:val="-1"/>
          <w:sz w:val="22"/>
          <w:szCs w:val="17"/>
        </w:rPr>
        <w:t xml:space="preserve"> </w:t>
      </w:r>
      <w:r w:rsidRPr="00212AA9">
        <w:rPr>
          <w:rFonts w:ascii="Arial" w:eastAsia="Calibri" w:hAnsi="Arial" w:cs="Arial"/>
          <w:spacing w:val="-1"/>
          <w:sz w:val="22"/>
          <w:szCs w:val="17"/>
        </w:rPr>
        <w:t>reflejando</w:t>
      </w:r>
      <w:r>
        <w:rPr>
          <w:rFonts w:ascii="Arial" w:eastAsia="Calibri" w:hAnsi="Arial" w:cs="Arial"/>
          <w:spacing w:val="-1"/>
          <w:sz w:val="22"/>
          <w:szCs w:val="17"/>
        </w:rPr>
        <w:t xml:space="preserve"> </w:t>
      </w:r>
      <w:r w:rsidRPr="00212AA9">
        <w:rPr>
          <w:rFonts w:ascii="Arial" w:eastAsia="Calibri" w:hAnsi="Arial" w:cs="Arial"/>
          <w:spacing w:val="-1"/>
          <w:sz w:val="22"/>
          <w:szCs w:val="17"/>
        </w:rPr>
        <w:t>tanto</w:t>
      </w:r>
      <w:r>
        <w:rPr>
          <w:rFonts w:ascii="Arial" w:eastAsia="Calibri" w:hAnsi="Arial" w:cs="Arial"/>
          <w:spacing w:val="-1"/>
          <w:sz w:val="22"/>
          <w:szCs w:val="17"/>
        </w:rPr>
        <w:t xml:space="preserve"> </w:t>
      </w:r>
      <w:r w:rsidRPr="00212AA9">
        <w:rPr>
          <w:rFonts w:ascii="Arial" w:eastAsia="Calibri" w:hAnsi="Arial" w:cs="Arial"/>
          <w:spacing w:val="-1"/>
          <w:sz w:val="22"/>
          <w:szCs w:val="17"/>
        </w:rPr>
        <w:t>el</w:t>
      </w:r>
      <w:r>
        <w:rPr>
          <w:rFonts w:ascii="Arial" w:eastAsia="Calibri" w:hAnsi="Arial" w:cs="Arial"/>
          <w:spacing w:val="-1"/>
          <w:sz w:val="22"/>
          <w:szCs w:val="17"/>
        </w:rPr>
        <w:t xml:space="preserve"> </w:t>
      </w:r>
      <w:r w:rsidRPr="00212AA9">
        <w:rPr>
          <w:rFonts w:ascii="Arial" w:eastAsia="Calibri" w:hAnsi="Arial" w:cs="Arial"/>
          <w:spacing w:val="-1"/>
          <w:sz w:val="22"/>
          <w:szCs w:val="17"/>
        </w:rPr>
        <w:t>aumento</w:t>
      </w:r>
      <w:r>
        <w:rPr>
          <w:rFonts w:ascii="Arial" w:eastAsia="Calibri" w:hAnsi="Arial" w:cs="Arial"/>
          <w:spacing w:val="-1"/>
          <w:sz w:val="22"/>
          <w:szCs w:val="17"/>
        </w:rPr>
        <w:t xml:space="preserve"> </w:t>
      </w:r>
      <w:r w:rsidRPr="00212AA9">
        <w:rPr>
          <w:rFonts w:ascii="Arial" w:eastAsia="Calibri" w:hAnsi="Arial" w:cs="Arial"/>
          <w:spacing w:val="-1"/>
          <w:sz w:val="22"/>
          <w:szCs w:val="17"/>
        </w:rPr>
        <w:t>que</w:t>
      </w:r>
      <w:r>
        <w:rPr>
          <w:rFonts w:ascii="Arial" w:eastAsia="Calibri" w:hAnsi="Arial" w:cs="Arial"/>
          <w:spacing w:val="-1"/>
          <w:sz w:val="22"/>
          <w:szCs w:val="17"/>
        </w:rPr>
        <w:t xml:space="preserve"> </w:t>
      </w:r>
      <w:r w:rsidRPr="00212AA9">
        <w:rPr>
          <w:rFonts w:ascii="Arial" w:eastAsia="Calibri" w:hAnsi="Arial" w:cs="Arial"/>
          <w:spacing w:val="-1"/>
          <w:sz w:val="22"/>
          <w:szCs w:val="17"/>
        </w:rPr>
        <w:t>presentó</w:t>
      </w:r>
      <w:r>
        <w:rPr>
          <w:rFonts w:ascii="Arial" w:eastAsia="Calibri" w:hAnsi="Arial" w:cs="Arial"/>
          <w:spacing w:val="-1"/>
          <w:sz w:val="22"/>
          <w:szCs w:val="17"/>
        </w:rPr>
        <w:t xml:space="preserve"> </w:t>
      </w:r>
      <w:r w:rsidRPr="00212AA9">
        <w:rPr>
          <w:rFonts w:ascii="Arial" w:eastAsia="Calibri" w:hAnsi="Arial" w:cs="Arial"/>
          <w:spacing w:val="-1"/>
          <w:sz w:val="22"/>
          <w:szCs w:val="17"/>
        </w:rPr>
        <w:t>el</w:t>
      </w:r>
      <w:r>
        <w:rPr>
          <w:rFonts w:ascii="Arial" w:eastAsia="Calibri" w:hAnsi="Arial" w:cs="Arial"/>
          <w:spacing w:val="-1"/>
          <w:sz w:val="22"/>
          <w:szCs w:val="17"/>
        </w:rPr>
        <w:t xml:space="preserve"> </w:t>
      </w:r>
      <w:r w:rsidRPr="00212AA9">
        <w:rPr>
          <w:rFonts w:ascii="Arial" w:eastAsia="Calibri" w:hAnsi="Arial" w:cs="Arial"/>
          <w:spacing w:val="-1"/>
          <w:sz w:val="22"/>
          <w:szCs w:val="17"/>
        </w:rPr>
        <w:t>componente</w:t>
      </w:r>
      <w:r>
        <w:rPr>
          <w:rFonts w:ascii="Arial" w:eastAsia="Calibri" w:hAnsi="Arial" w:cs="Arial"/>
          <w:spacing w:val="-1"/>
          <w:sz w:val="22"/>
          <w:szCs w:val="17"/>
        </w:rPr>
        <w:t xml:space="preserve"> </w:t>
      </w:r>
      <w:r w:rsidRPr="00212AA9">
        <w:rPr>
          <w:rFonts w:ascii="Arial" w:eastAsia="Calibri" w:hAnsi="Arial" w:cs="Arial"/>
          <w:spacing w:val="-1"/>
          <w:sz w:val="22"/>
          <w:szCs w:val="17"/>
        </w:rPr>
        <w:t>no</w:t>
      </w:r>
      <w:r>
        <w:rPr>
          <w:rFonts w:ascii="Arial" w:eastAsia="Calibri" w:hAnsi="Arial" w:cs="Arial"/>
          <w:spacing w:val="-1"/>
          <w:sz w:val="22"/>
          <w:szCs w:val="17"/>
        </w:rPr>
        <w:t xml:space="preserve"> </w:t>
      </w:r>
      <w:r w:rsidRPr="00212AA9">
        <w:rPr>
          <w:rFonts w:ascii="Arial" w:eastAsia="Calibri" w:hAnsi="Arial" w:cs="Arial"/>
          <w:spacing w:val="-1"/>
          <w:sz w:val="22"/>
          <w:szCs w:val="17"/>
        </w:rPr>
        <w:t>subyacente,</w:t>
      </w:r>
      <w:r>
        <w:rPr>
          <w:rFonts w:ascii="Arial" w:eastAsia="Calibri" w:hAnsi="Arial" w:cs="Arial"/>
          <w:spacing w:val="-1"/>
          <w:sz w:val="22"/>
          <w:szCs w:val="17"/>
        </w:rPr>
        <w:t xml:space="preserve"> </w:t>
      </w:r>
      <w:r w:rsidRPr="00212AA9">
        <w:rPr>
          <w:rFonts w:ascii="Arial" w:eastAsia="Calibri" w:hAnsi="Arial" w:cs="Arial"/>
          <w:spacing w:val="-1"/>
          <w:sz w:val="22"/>
          <w:szCs w:val="17"/>
        </w:rPr>
        <w:t>como</w:t>
      </w:r>
      <w:r>
        <w:rPr>
          <w:rFonts w:ascii="Arial" w:eastAsia="Calibri" w:hAnsi="Arial" w:cs="Arial"/>
          <w:spacing w:val="-1"/>
          <w:sz w:val="22"/>
          <w:szCs w:val="17"/>
        </w:rPr>
        <w:t xml:space="preserve"> </w:t>
      </w:r>
      <w:r w:rsidRPr="00212AA9">
        <w:rPr>
          <w:rFonts w:ascii="Arial" w:eastAsia="Calibri" w:hAnsi="Arial" w:cs="Arial"/>
          <w:spacing w:val="-1"/>
          <w:sz w:val="22"/>
          <w:szCs w:val="17"/>
        </w:rPr>
        <w:t>una</w:t>
      </w:r>
      <w:r>
        <w:rPr>
          <w:rFonts w:ascii="Arial" w:eastAsia="Calibri" w:hAnsi="Arial" w:cs="Arial"/>
          <w:spacing w:val="-1"/>
          <w:sz w:val="22"/>
          <w:szCs w:val="17"/>
        </w:rPr>
        <w:t xml:space="preserve"> </w:t>
      </w:r>
      <w:r w:rsidRPr="00212AA9">
        <w:rPr>
          <w:rFonts w:ascii="Arial" w:eastAsia="Calibri" w:hAnsi="Arial" w:cs="Arial"/>
          <w:spacing w:val="-1"/>
          <w:sz w:val="22"/>
          <w:szCs w:val="17"/>
        </w:rPr>
        <w:t>resistencia</w:t>
      </w:r>
      <w:r>
        <w:rPr>
          <w:rFonts w:ascii="Arial" w:eastAsia="Calibri" w:hAnsi="Arial" w:cs="Arial"/>
          <w:spacing w:val="-1"/>
          <w:sz w:val="22"/>
          <w:szCs w:val="17"/>
        </w:rPr>
        <w:t xml:space="preserve"> </w:t>
      </w:r>
      <w:r w:rsidRPr="00212AA9">
        <w:rPr>
          <w:rFonts w:ascii="Arial" w:eastAsia="Calibri" w:hAnsi="Arial" w:cs="Arial"/>
          <w:spacing w:val="-1"/>
          <w:sz w:val="22"/>
          <w:szCs w:val="17"/>
        </w:rPr>
        <w:t>de</w:t>
      </w:r>
      <w:r>
        <w:rPr>
          <w:rFonts w:ascii="Arial" w:eastAsia="Calibri" w:hAnsi="Arial" w:cs="Arial"/>
          <w:spacing w:val="-1"/>
          <w:sz w:val="22"/>
          <w:szCs w:val="17"/>
        </w:rPr>
        <w:t xml:space="preserve"> </w:t>
      </w:r>
      <w:r w:rsidRPr="00212AA9">
        <w:rPr>
          <w:rFonts w:ascii="Arial" w:eastAsia="Calibri" w:hAnsi="Arial" w:cs="Arial"/>
          <w:spacing w:val="-1"/>
          <w:sz w:val="22"/>
          <w:szCs w:val="17"/>
        </w:rPr>
        <w:t>la</w:t>
      </w:r>
      <w:r>
        <w:rPr>
          <w:rFonts w:ascii="Arial" w:eastAsia="Calibri" w:hAnsi="Arial" w:cs="Arial"/>
          <w:spacing w:val="-1"/>
          <w:sz w:val="22"/>
          <w:szCs w:val="17"/>
        </w:rPr>
        <w:t xml:space="preserve"> </w:t>
      </w:r>
      <w:r w:rsidRPr="00212AA9">
        <w:rPr>
          <w:rFonts w:ascii="Arial" w:eastAsia="Calibri" w:hAnsi="Arial" w:cs="Arial"/>
          <w:spacing w:val="-1"/>
          <w:sz w:val="22"/>
          <w:szCs w:val="17"/>
        </w:rPr>
        <w:t>inflación</w:t>
      </w:r>
      <w:r>
        <w:rPr>
          <w:rFonts w:ascii="Arial" w:eastAsia="Calibri" w:hAnsi="Arial" w:cs="Arial"/>
          <w:spacing w:val="-1"/>
          <w:sz w:val="22"/>
          <w:szCs w:val="17"/>
        </w:rPr>
        <w:t xml:space="preserve"> </w:t>
      </w:r>
      <w:r w:rsidRPr="00212AA9">
        <w:rPr>
          <w:rFonts w:ascii="Arial" w:eastAsia="Calibri" w:hAnsi="Arial" w:cs="Arial"/>
          <w:spacing w:val="-1"/>
          <w:sz w:val="22"/>
          <w:szCs w:val="17"/>
        </w:rPr>
        <w:t>subyacente</w:t>
      </w:r>
      <w:r>
        <w:rPr>
          <w:rFonts w:ascii="Arial" w:eastAsia="Calibri" w:hAnsi="Arial" w:cs="Arial"/>
          <w:spacing w:val="-1"/>
          <w:sz w:val="22"/>
          <w:szCs w:val="17"/>
        </w:rPr>
        <w:t xml:space="preserve"> </w:t>
      </w:r>
      <w:r w:rsidRPr="00212AA9">
        <w:rPr>
          <w:rFonts w:ascii="Arial" w:eastAsia="Calibri" w:hAnsi="Arial" w:cs="Arial"/>
          <w:spacing w:val="-1"/>
          <w:sz w:val="22"/>
          <w:szCs w:val="17"/>
        </w:rPr>
        <w:t>a</w:t>
      </w:r>
      <w:r>
        <w:rPr>
          <w:rFonts w:ascii="Arial" w:eastAsia="Calibri" w:hAnsi="Arial" w:cs="Arial"/>
          <w:spacing w:val="-1"/>
          <w:sz w:val="22"/>
          <w:szCs w:val="17"/>
        </w:rPr>
        <w:t xml:space="preserve"> </w:t>
      </w:r>
      <w:r w:rsidRPr="00212AA9">
        <w:rPr>
          <w:rFonts w:ascii="Arial" w:eastAsia="Calibri" w:hAnsi="Arial" w:cs="Arial"/>
          <w:spacing w:val="-1"/>
          <w:sz w:val="22"/>
          <w:szCs w:val="17"/>
        </w:rPr>
        <w:t>continuar</w:t>
      </w:r>
      <w:r>
        <w:rPr>
          <w:rFonts w:ascii="Arial" w:eastAsia="Calibri" w:hAnsi="Arial" w:cs="Arial"/>
          <w:spacing w:val="-1"/>
          <w:sz w:val="22"/>
          <w:szCs w:val="17"/>
        </w:rPr>
        <w:t xml:space="preserve"> </w:t>
      </w:r>
      <w:r w:rsidRPr="00212AA9">
        <w:rPr>
          <w:rFonts w:ascii="Arial" w:eastAsia="Calibri" w:hAnsi="Arial" w:cs="Arial"/>
          <w:spacing w:val="-1"/>
          <w:sz w:val="22"/>
          <w:szCs w:val="17"/>
        </w:rPr>
        <w:t>disminuyendo,</w:t>
      </w:r>
      <w:r>
        <w:rPr>
          <w:rFonts w:ascii="Arial" w:eastAsia="Calibri" w:hAnsi="Arial" w:cs="Arial"/>
          <w:spacing w:val="-1"/>
          <w:sz w:val="22"/>
          <w:szCs w:val="17"/>
        </w:rPr>
        <w:t xml:space="preserve"> </w:t>
      </w:r>
      <w:r w:rsidRPr="00212AA9">
        <w:rPr>
          <w:rFonts w:ascii="Arial" w:eastAsia="Calibri" w:hAnsi="Arial" w:cs="Arial"/>
          <w:spacing w:val="-1"/>
          <w:sz w:val="22"/>
          <w:szCs w:val="17"/>
        </w:rPr>
        <w:t>la</w:t>
      </w:r>
      <w:r>
        <w:rPr>
          <w:rFonts w:ascii="Arial" w:eastAsia="Calibri" w:hAnsi="Arial" w:cs="Arial"/>
          <w:spacing w:val="-1"/>
          <w:sz w:val="22"/>
          <w:szCs w:val="17"/>
        </w:rPr>
        <w:t xml:space="preserve"> </w:t>
      </w:r>
      <w:r w:rsidRPr="00212AA9">
        <w:rPr>
          <w:rFonts w:ascii="Arial" w:eastAsia="Calibri" w:hAnsi="Arial" w:cs="Arial"/>
          <w:spacing w:val="-1"/>
          <w:sz w:val="22"/>
          <w:szCs w:val="17"/>
        </w:rPr>
        <w:t>inflación</w:t>
      </w:r>
      <w:r>
        <w:rPr>
          <w:rFonts w:ascii="Arial" w:eastAsia="Calibri" w:hAnsi="Arial" w:cs="Arial"/>
          <w:spacing w:val="-1"/>
          <w:sz w:val="22"/>
          <w:szCs w:val="17"/>
        </w:rPr>
        <w:t xml:space="preserve"> </w:t>
      </w:r>
      <w:r w:rsidRPr="00212AA9">
        <w:rPr>
          <w:rFonts w:ascii="Arial" w:eastAsia="Calibri" w:hAnsi="Arial" w:cs="Arial"/>
          <w:spacing w:val="-1"/>
          <w:sz w:val="22"/>
          <w:szCs w:val="17"/>
        </w:rPr>
        <w:t>general</w:t>
      </w:r>
      <w:r>
        <w:rPr>
          <w:rFonts w:ascii="Arial" w:eastAsia="Calibri" w:hAnsi="Arial" w:cs="Arial"/>
          <w:spacing w:val="-1"/>
          <w:sz w:val="22"/>
          <w:szCs w:val="17"/>
        </w:rPr>
        <w:t xml:space="preserve"> </w:t>
      </w:r>
      <w:r w:rsidRPr="00212AA9">
        <w:rPr>
          <w:rFonts w:ascii="Arial" w:eastAsia="Calibri" w:hAnsi="Arial" w:cs="Arial"/>
          <w:spacing w:val="-1"/>
          <w:sz w:val="22"/>
          <w:szCs w:val="17"/>
        </w:rPr>
        <w:t>anual</w:t>
      </w:r>
      <w:r>
        <w:rPr>
          <w:rFonts w:ascii="Arial" w:eastAsia="Calibri" w:hAnsi="Arial" w:cs="Arial"/>
          <w:spacing w:val="-1"/>
          <w:sz w:val="22"/>
          <w:szCs w:val="17"/>
        </w:rPr>
        <w:t xml:space="preserve"> </w:t>
      </w:r>
      <w:r w:rsidRPr="00212AA9">
        <w:rPr>
          <w:rFonts w:ascii="Arial" w:eastAsia="Calibri" w:hAnsi="Arial" w:cs="Arial"/>
          <w:spacing w:val="-1"/>
          <w:sz w:val="22"/>
          <w:szCs w:val="17"/>
        </w:rPr>
        <w:t>se</w:t>
      </w:r>
      <w:r>
        <w:rPr>
          <w:rFonts w:ascii="Arial" w:eastAsia="Calibri" w:hAnsi="Arial" w:cs="Arial"/>
          <w:spacing w:val="-1"/>
          <w:sz w:val="22"/>
          <w:szCs w:val="17"/>
        </w:rPr>
        <w:t xml:space="preserve"> </w:t>
      </w:r>
      <w:r w:rsidRPr="00212AA9">
        <w:rPr>
          <w:rFonts w:ascii="Arial" w:eastAsia="Calibri" w:hAnsi="Arial" w:cs="Arial"/>
          <w:spacing w:val="-1"/>
          <w:sz w:val="22"/>
          <w:szCs w:val="17"/>
        </w:rPr>
        <w:t>incrementó.</w:t>
      </w:r>
      <w:r>
        <w:rPr>
          <w:rFonts w:ascii="Arial" w:eastAsia="Calibri" w:hAnsi="Arial" w:cs="Arial"/>
          <w:spacing w:val="-1"/>
          <w:sz w:val="22"/>
          <w:szCs w:val="17"/>
        </w:rPr>
        <w:t xml:space="preserve"> </w:t>
      </w:r>
      <w:r w:rsidRPr="00212AA9">
        <w:rPr>
          <w:rFonts w:ascii="Arial" w:eastAsia="Calibri" w:hAnsi="Arial" w:cs="Arial"/>
          <w:spacing w:val="-1"/>
          <w:sz w:val="22"/>
          <w:szCs w:val="17"/>
        </w:rPr>
        <w:t>No</w:t>
      </w:r>
      <w:r>
        <w:rPr>
          <w:rFonts w:ascii="Arial" w:eastAsia="Calibri" w:hAnsi="Arial" w:cs="Arial"/>
          <w:spacing w:val="-1"/>
          <w:sz w:val="22"/>
          <w:szCs w:val="17"/>
        </w:rPr>
        <w:t xml:space="preserve"> </w:t>
      </w:r>
      <w:r w:rsidRPr="00212AA9">
        <w:rPr>
          <w:rFonts w:ascii="Arial" w:eastAsia="Calibri" w:hAnsi="Arial" w:cs="Arial"/>
          <w:spacing w:val="-1"/>
          <w:sz w:val="22"/>
          <w:szCs w:val="17"/>
        </w:rPr>
        <w:t>obstante,</w:t>
      </w:r>
      <w:r>
        <w:rPr>
          <w:rFonts w:ascii="Arial" w:eastAsia="Calibri" w:hAnsi="Arial" w:cs="Arial"/>
          <w:spacing w:val="-1"/>
          <w:sz w:val="22"/>
          <w:szCs w:val="17"/>
        </w:rPr>
        <w:t xml:space="preserve"> </w:t>
      </w:r>
      <w:r w:rsidRPr="00212AA9">
        <w:rPr>
          <w:rFonts w:ascii="Arial" w:eastAsia="Calibri" w:hAnsi="Arial" w:cs="Arial"/>
          <w:spacing w:val="-1"/>
          <w:sz w:val="22"/>
          <w:szCs w:val="17"/>
        </w:rPr>
        <w:t>esta</w:t>
      </w:r>
      <w:r>
        <w:rPr>
          <w:rFonts w:ascii="Arial" w:eastAsia="Calibri" w:hAnsi="Arial" w:cs="Arial"/>
          <w:spacing w:val="-1"/>
          <w:sz w:val="22"/>
          <w:szCs w:val="17"/>
        </w:rPr>
        <w:t xml:space="preserve"> </w:t>
      </w:r>
      <w:r w:rsidRPr="00212AA9">
        <w:rPr>
          <w:rFonts w:ascii="Arial" w:eastAsia="Calibri" w:hAnsi="Arial" w:cs="Arial"/>
          <w:spacing w:val="-1"/>
          <w:sz w:val="22"/>
          <w:szCs w:val="17"/>
        </w:rPr>
        <w:t>disminuyó</w:t>
      </w:r>
      <w:r>
        <w:rPr>
          <w:rFonts w:ascii="Arial" w:eastAsia="Calibri" w:hAnsi="Arial" w:cs="Arial"/>
          <w:spacing w:val="-1"/>
          <w:sz w:val="22"/>
          <w:szCs w:val="17"/>
        </w:rPr>
        <w:t xml:space="preserve"> </w:t>
      </w:r>
      <w:r w:rsidRPr="00212AA9">
        <w:rPr>
          <w:rFonts w:ascii="Arial" w:eastAsia="Calibri" w:hAnsi="Arial" w:cs="Arial"/>
          <w:spacing w:val="-1"/>
          <w:sz w:val="22"/>
          <w:szCs w:val="17"/>
        </w:rPr>
        <w:t>en</w:t>
      </w:r>
      <w:r>
        <w:rPr>
          <w:rFonts w:ascii="Arial" w:eastAsia="Calibri" w:hAnsi="Arial" w:cs="Arial"/>
          <w:spacing w:val="-1"/>
          <w:sz w:val="22"/>
          <w:szCs w:val="17"/>
        </w:rPr>
        <w:t xml:space="preserve"> </w:t>
      </w:r>
      <w:r w:rsidRPr="00212AA9">
        <w:rPr>
          <w:rFonts w:ascii="Arial" w:eastAsia="Calibri" w:hAnsi="Arial" w:cs="Arial"/>
          <w:spacing w:val="-1"/>
          <w:sz w:val="22"/>
          <w:szCs w:val="17"/>
        </w:rPr>
        <w:t>octubre</w:t>
      </w:r>
      <w:r>
        <w:rPr>
          <w:rFonts w:ascii="Arial" w:eastAsia="Calibri" w:hAnsi="Arial" w:cs="Arial"/>
          <w:spacing w:val="-1"/>
          <w:sz w:val="22"/>
          <w:szCs w:val="17"/>
        </w:rPr>
        <w:t xml:space="preserve"> </w:t>
      </w:r>
      <w:r w:rsidRPr="00212AA9">
        <w:rPr>
          <w:rFonts w:ascii="Arial" w:eastAsia="Calibri" w:hAnsi="Arial" w:cs="Arial"/>
          <w:spacing w:val="-1"/>
          <w:sz w:val="22"/>
          <w:szCs w:val="17"/>
        </w:rPr>
        <w:t>y</w:t>
      </w:r>
      <w:r>
        <w:rPr>
          <w:rFonts w:ascii="Arial" w:eastAsia="Calibri" w:hAnsi="Arial" w:cs="Arial"/>
          <w:spacing w:val="-1"/>
          <w:sz w:val="22"/>
          <w:szCs w:val="17"/>
        </w:rPr>
        <w:t xml:space="preserve"> </w:t>
      </w:r>
      <w:r w:rsidRPr="00212AA9">
        <w:rPr>
          <w:rFonts w:ascii="Arial" w:eastAsia="Calibri" w:hAnsi="Arial" w:cs="Arial"/>
          <w:spacing w:val="-1"/>
          <w:sz w:val="22"/>
          <w:szCs w:val="17"/>
        </w:rPr>
        <w:t>en</w:t>
      </w:r>
      <w:r>
        <w:rPr>
          <w:rFonts w:ascii="Arial" w:eastAsia="Calibri" w:hAnsi="Arial" w:cs="Arial"/>
          <w:spacing w:val="-1"/>
          <w:sz w:val="22"/>
          <w:szCs w:val="17"/>
        </w:rPr>
        <w:t xml:space="preserve"> </w:t>
      </w:r>
      <w:r w:rsidRPr="00212AA9">
        <w:rPr>
          <w:rFonts w:ascii="Arial" w:eastAsia="Calibri" w:hAnsi="Arial" w:cs="Arial"/>
          <w:spacing w:val="-1"/>
          <w:sz w:val="22"/>
          <w:szCs w:val="17"/>
        </w:rPr>
        <w:t>la</w:t>
      </w:r>
      <w:r>
        <w:rPr>
          <w:rFonts w:ascii="Arial" w:eastAsia="Calibri" w:hAnsi="Arial" w:cs="Arial"/>
          <w:spacing w:val="-1"/>
          <w:sz w:val="22"/>
          <w:szCs w:val="17"/>
        </w:rPr>
        <w:t xml:space="preserve"> </w:t>
      </w:r>
      <w:r w:rsidRPr="00212AA9">
        <w:rPr>
          <w:rFonts w:ascii="Arial" w:eastAsia="Calibri" w:hAnsi="Arial" w:cs="Arial"/>
          <w:spacing w:val="-1"/>
          <w:sz w:val="22"/>
          <w:szCs w:val="17"/>
        </w:rPr>
        <w:t>primera</w:t>
      </w:r>
      <w:r>
        <w:rPr>
          <w:rFonts w:ascii="Arial" w:eastAsia="Calibri" w:hAnsi="Arial" w:cs="Arial"/>
          <w:spacing w:val="-1"/>
          <w:sz w:val="22"/>
          <w:szCs w:val="17"/>
        </w:rPr>
        <w:t xml:space="preserve"> </w:t>
      </w:r>
      <w:r w:rsidRPr="00212AA9">
        <w:rPr>
          <w:rFonts w:ascii="Arial" w:eastAsia="Calibri" w:hAnsi="Arial" w:cs="Arial"/>
          <w:spacing w:val="-1"/>
          <w:sz w:val="22"/>
          <w:szCs w:val="17"/>
        </w:rPr>
        <w:t>quincena</w:t>
      </w:r>
      <w:r>
        <w:rPr>
          <w:rFonts w:ascii="Arial" w:eastAsia="Calibri" w:hAnsi="Arial" w:cs="Arial"/>
          <w:spacing w:val="-1"/>
          <w:sz w:val="22"/>
          <w:szCs w:val="17"/>
        </w:rPr>
        <w:t xml:space="preserve"> </w:t>
      </w:r>
      <w:r w:rsidRPr="00212AA9">
        <w:rPr>
          <w:rFonts w:ascii="Arial" w:eastAsia="Calibri" w:hAnsi="Arial" w:cs="Arial"/>
          <w:spacing w:val="-1"/>
          <w:sz w:val="22"/>
          <w:szCs w:val="17"/>
        </w:rPr>
        <w:t>de</w:t>
      </w:r>
      <w:r>
        <w:rPr>
          <w:rFonts w:ascii="Arial" w:eastAsia="Calibri" w:hAnsi="Arial" w:cs="Arial"/>
          <w:spacing w:val="-1"/>
          <w:sz w:val="22"/>
          <w:szCs w:val="17"/>
        </w:rPr>
        <w:t xml:space="preserve"> </w:t>
      </w:r>
      <w:r w:rsidRPr="00212AA9">
        <w:rPr>
          <w:rFonts w:ascii="Arial" w:eastAsia="Calibri" w:hAnsi="Arial" w:cs="Arial"/>
          <w:spacing w:val="-1"/>
          <w:sz w:val="22"/>
          <w:szCs w:val="17"/>
        </w:rPr>
        <w:t>noviembre,</w:t>
      </w:r>
      <w:r>
        <w:rPr>
          <w:rFonts w:ascii="Arial" w:eastAsia="Calibri" w:hAnsi="Arial" w:cs="Arial"/>
          <w:spacing w:val="-1"/>
          <w:sz w:val="22"/>
          <w:szCs w:val="17"/>
        </w:rPr>
        <w:t xml:space="preserve"> </w:t>
      </w:r>
      <w:r w:rsidRPr="00212AA9">
        <w:rPr>
          <w:rFonts w:ascii="Arial" w:eastAsia="Calibri" w:hAnsi="Arial" w:cs="Arial"/>
          <w:spacing w:val="-1"/>
          <w:sz w:val="22"/>
          <w:szCs w:val="17"/>
        </w:rPr>
        <w:t>lo</w:t>
      </w:r>
      <w:r>
        <w:rPr>
          <w:rFonts w:ascii="Arial" w:eastAsia="Calibri" w:hAnsi="Arial" w:cs="Arial"/>
          <w:spacing w:val="-1"/>
          <w:sz w:val="22"/>
          <w:szCs w:val="17"/>
        </w:rPr>
        <w:t xml:space="preserve"> </w:t>
      </w:r>
      <w:r w:rsidRPr="00212AA9">
        <w:rPr>
          <w:rFonts w:ascii="Arial" w:eastAsia="Calibri" w:hAnsi="Arial" w:cs="Arial"/>
          <w:spacing w:val="-1"/>
          <w:sz w:val="22"/>
          <w:szCs w:val="17"/>
        </w:rPr>
        <w:t>cual</w:t>
      </w:r>
      <w:r>
        <w:rPr>
          <w:rFonts w:ascii="Arial" w:eastAsia="Calibri" w:hAnsi="Arial" w:cs="Arial"/>
          <w:spacing w:val="-1"/>
          <w:sz w:val="22"/>
          <w:szCs w:val="17"/>
        </w:rPr>
        <w:t xml:space="preserve"> </w:t>
      </w:r>
      <w:r w:rsidRPr="00212AA9">
        <w:rPr>
          <w:rFonts w:ascii="Arial" w:eastAsia="Calibri" w:hAnsi="Arial" w:cs="Arial"/>
          <w:spacing w:val="-1"/>
          <w:sz w:val="22"/>
          <w:szCs w:val="17"/>
        </w:rPr>
        <w:t>se</w:t>
      </w:r>
      <w:r>
        <w:rPr>
          <w:rFonts w:ascii="Arial" w:eastAsia="Calibri" w:hAnsi="Arial" w:cs="Arial"/>
          <w:spacing w:val="-1"/>
          <w:sz w:val="22"/>
          <w:szCs w:val="17"/>
        </w:rPr>
        <w:t xml:space="preserve"> </w:t>
      </w:r>
      <w:r w:rsidRPr="00212AA9">
        <w:rPr>
          <w:rFonts w:ascii="Arial" w:eastAsia="Calibri" w:hAnsi="Arial" w:cs="Arial"/>
          <w:spacing w:val="-1"/>
          <w:sz w:val="22"/>
          <w:szCs w:val="17"/>
        </w:rPr>
        <w:t>explica,</w:t>
      </w:r>
      <w:r>
        <w:rPr>
          <w:rFonts w:ascii="Arial" w:eastAsia="Calibri" w:hAnsi="Arial" w:cs="Arial"/>
          <w:spacing w:val="-1"/>
          <w:sz w:val="22"/>
          <w:szCs w:val="17"/>
        </w:rPr>
        <w:t xml:space="preserve"> </w:t>
      </w:r>
      <w:r w:rsidRPr="00212AA9">
        <w:rPr>
          <w:rFonts w:ascii="Arial" w:eastAsia="Calibri" w:hAnsi="Arial" w:cs="Arial"/>
          <w:spacing w:val="-1"/>
          <w:sz w:val="22"/>
          <w:szCs w:val="17"/>
        </w:rPr>
        <w:t>en</w:t>
      </w:r>
      <w:r>
        <w:rPr>
          <w:rFonts w:ascii="Arial" w:eastAsia="Calibri" w:hAnsi="Arial" w:cs="Arial"/>
          <w:spacing w:val="-1"/>
          <w:sz w:val="22"/>
          <w:szCs w:val="17"/>
        </w:rPr>
        <w:t xml:space="preserve"> </w:t>
      </w:r>
      <w:r w:rsidRPr="00212AA9">
        <w:rPr>
          <w:rFonts w:ascii="Arial" w:eastAsia="Calibri" w:hAnsi="Arial" w:cs="Arial"/>
          <w:spacing w:val="-1"/>
          <w:sz w:val="22"/>
          <w:szCs w:val="17"/>
        </w:rPr>
        <w:t>buena</w:t>
      </w:r>
      <w:r>
        <w:rPr>
          <w:rFonts w:ascii="Arial" w:eastAsia="Calibri" w:hAnsi="Arial" w:cs="Arial"/>
          <w:spacing w:val="-1"/>
          <w:sz w:val="22"/>
          <w:szCs w:val="17"/>
        </w:rPr>
        <w:t xml:space="preserve"> </w:t>
      </w:r>
      <w:r w:rsidRPr="00212AA9">
        <w:rPr>
          <w:rFonts w:ascii="Arial" w:eastAsia="Calibri" w:hAnsi="Arial" w:cs="Arial"/>
          <w:spacing w:val="-1"/>
          <w:sz w:val="22"/>
          <w:szCs w:val="17"/>
        </w:rPr>
        <w:t>medida,</w:t>
      </w:r>
      <w:r>
        <w:rPr>
          <w:rFonts w:ascii="Arial" w:eastAsia="Calibri" w:hAnsi="Arial" w:cs="Arial"/>
          <w:spacing w:val="-1"/>
          <w:sz w:val="22"/>
          <w:szCs w:val="17"/>
        </w:rPr>
        <w:t xml:space="preserve"> </w:t>
      </w:r>
      <w:r w:rsidRPr="00212AA9">
        <w:rPr>
          <w:rFonts w:ascii="Arial" w:eastAsia="Calibri" w:hAnsi="Arial" w:cs="Arial"/>
          <w:spacing w:val="-1"/>
          <w:sz w:val="22"/>
          <w:szCs w:val="17"/>
        </w:rPr>
        <w:t>por</w:t>
      </w:r>
      <w:r>
        <w:rPr>
          <w:rFonts w:ascii="Arial" w:eastAsia="Calibri" w:hAnsi="Arial" w:cs="Arial"/>
          <w:spacing w:val="-1"/>
          <w:sz w:val="22"/>
          <w:szCs w:val="17"/>
        </w:rPr>
        <w:t xml:space="preserve"> </w:t>
      </w:r>
      <w:r w:rsidRPr="00212AA9">
        <w:rPr>
          <w:rFonts w:ascii="Arial" w:eastAsia="Calibri" w:hAnsi="Arial" w:cs="Arial"/>
          <w:spacing w:val="-1"/>
          <w:sz w:val="22"/>
          <w:szCs w:val="17"/>
        </w:rPr>
        <w:t>el</w:t>
      </w:r>
      <w:r>
        <w:rPr>
          <w:rFonts w:ascii="Arial" w:eastAsia="Calibri" w:hAnsi="Arial" w:cs="Arial"/>
          <w:spacing w:val="-1"/>
          <w:sz w:val="22"/>
          <w:szCs w:val="17"/>
        </w:rPr>
        <w:t xml:space="preserve"> </w:t>
      </w:r>
      <w:r w:rsidRPr="00212AA9">
        <w:rPr>
          <w:rFonts w:ascii="Arial" w:eastAsia="Calibri" w:hAnsi="Arial" w:cs="Arial"/>
          <w:spacing w:val="-1"/>
          <w:sz w:val="22"/>
          <w:szCs w:val="17"/>
        </w:rPr>
        <w:t>descenso</w:t>
      </w:r>
      <w:r>
        <w:rPr>
          <w:rFonts w:ascii="Arial" w:eastAsia="Calibri" w:hAnsi="Arial" w:cs="Arial"/>
          <w:spacing w:val="-1"/>
          <w:sz w:val="22"/>
          <w:szCs w:val="17"/>
        </w:rPr>
        <w:t xml:space="preserve"> </w:t>
      </w:r>
      <w:r w:rsidRPr="00212AA9">
        <w:rPr>
          <w:rFonts w:ascii="Arial" w:eastAsia="Calibri" w:hAnsi="Arial" w:cs="Arial"/>
          <w:spacing w:val="-1"/>
          <w:sz w:val="22"/>
          <w:szCs w:val="17"/>
        </w:rPr>
        <w:t>de</w:t>
      </w:r>
      <w:r>
        <w:rPr>
          <w:rFonts w:ascii="Arial" w:eastAsia="Calibri" w:hAnsi="Arial" w:cs="Arial"/>
          <w:spacing w:val="-1"/>
          <w:sz w:val="22"/>
          <w:szCs w:val="17"/>
        </w:rPr>
        <w:t xml:space="preserve"> </w:t>
      </w:r>
      <w:r w:rsidRPr="00212AA9">
        <w:rPr>
          <w:rFonts w:ascii="Arial" w:eastAsia="Calibri" w:hAnsi="Arial" w:cs="Arial"/>
          <w:spacing w:val="-1"/>
          <w:sz w:val="22"/>
          <w:szCs w:val="17"/>
        </w:rPr>
        <w:t>la</w:t>
      </w:r>
      <w:r>
        <w:rPr>
          <w:rFonts w:ascii="Arial" w:eastAsia="Calibri" w:hAnsi="Arial" w:cs="Arial"/>
          <w:spacing w:val="-1"/>
          <w:sz w:val="22"/>
          <w:szCs w:val="17"/>
        </w:rPr>
        <w:t xml:space="preserve"> </w:t>
      </w:r>
      <w:r w:rsidRPr="00212AA9">
        <w:rPr>
          <w:rFonts w:ascii="Arial" w:eastAsia="Calibri" w:hAnsi="Arial" w:cs="Arial"/>
          <w:spacing w:val="-1"/>
          <w:sz w:val="22"/>
          <w:szCs w:val="17"/>
        </w:rPr>
        <w:t>inflación</w:t>
      </w:r>
      <w:r>
        <w:rPr>
          <w:rFonts w:ascii="Arial" w:eastAsia="Calibri" w:hAnsi="Arial" w:cs="Arial"/>
          <w:spacing w:val="-1"/>
          <w:sz w:val="22"/>
          <w:szCs w:val="17"/>
        </w:rPr>
        <w:t xml:space="preserve"> </w:t>
      </w:r>
      <w:r w:rsidRPr="00212AA9">
        <w:rPr>
          <w:rFonts w:ascii="Arial" w:eastAsia="Calibri" w:hAnsi="Arial" w:cs="Arial"/>
          <w:spacing w:val="-1"/>
          <w:sz w:val="22"/>
          <w:szCs w:val="17"/>
        </w:rPr>
        <w:t>no</w:t>
      </w:r>
      <w:r>
        <w:rPr>
          <w:rFonts w:ascii="Arial" w:eastAsia="Calibri" w:hAnsi="Arial" w:cs="Arial"/>
          <w:spacing w:val="-1"/>
          <w:sz w:val="22"/>
          <w:szCs w:val="17"/>
        </w:rPr>
        <w:t xml:space="preserve"> </w:t>
      </w:r>
      <w:r w:rsidRPr="00212AA9">
        <w:rPr>
          <w:rFonts w:ascii="Arial" w:eastAsia="Calibri" w:hAnsi="Arial" w:cs="Arial"/>
          <w:spacing w:val="-1"/>
          <w:sz w:val="22"/>
          <w:szCs w:val="17"/>
        </w:rPr>
        <w:t>subyacente</w:t>
      </w:r>
      <w:r>
        <w:rPr>
          <w:rFonts w:ascii="Arial" w:eastAsia="Calibri" w:hAnsi="Arial" w:cs="Arial"/>
          <w:spacing w:val="-1"/>
          <w:sz w:val="22"/>
          <w:szCs w:val="17"/>
        </w:rPr>
        <w:t xml:space="preserve"> </w:t>
      </w:r>
      <w:r w:rsidRPr="00212AA9">
        <w:rPr>
          <w:rFonts w:ascii="Arial" w:eastAsia="Calibri" w:hAnsi="Arial" w:cs="Arial"/>
          <w:spacing w:val="-1"/>
          <w:sz w:val="22"/>
          <w:szCs w:val="17"/>
        </w:rPr>
        <w:t>anual.</w:t>
      </w:r>
      <w:r>
        <w:rPr>
          <w:rFonts w:ascii="Arial" w:eastAsia="Calibri" w:hAnsi="Arial" w:cs="Arial"/>
          <w:spacing w:val="-1"/>
          <w:sz w:val="22"/>
          <w:szCs w:val="17"/>
        </w:rPr>
        <w:t xml:space="preserve"> </w:t>
      </w:r>
      <w:r w:rsidRPr="00212AA9">
        <w:rPr>
          <w:rFonts w:ascii="Arial" w:eastAsia="Calibri" w:hAnsi="Arial" w:cs="Arial"/>
          <w:spacing w:val="-1"/>
          <w:sz w:val="22"/>
          <w:szCs w:val="17"/>
        </w:rPr>
        <w:t>En</w:t>
      </w:r>
      <w:r>
        <w:rPr>
          <w:rFonts w:ascii="Arial" w:eastAsia="Calibri" w:hAnsi="Arial" w:cs="Arial"/>
          <w:spacing w:val="-1"/>
          <w:sz w:val="22"/>
          <w:szCs w:val="17"/>
        </w:rPr>
        <w:t xml:space="preserve"> </w:t>
      </w:r>
      <w:r w:rsidRPr="00212AA9">
        <w:rPr>
          <w:rFonts w:ascii="Arial" w:eastAsia="Calibri" w:hAnsi="Arial" w:cs="Arial"/>
          <w:spacing w:val="-1"/>
          <w:sz w:val="22"/>
          <w:szCs w:val="17"/>
        </w:rPr>
        <w:t>el</w:t>
      </w:r>
      <w:r>
        <w:rPr>
          <w:rFonts w:ascii="Arial" w:eastAsia="Calibri" w:hAnsi="Arial" w:cs="Arial"/>
          <w:spacing w:val="-1"/>
          <w:sz w:val="22"/>
          <w:szCs w:val="17"/>
        </w:rPr>
        <w:t xml:space="preserve"> </w:t>
      </w:r>
      <w:r w:rsidRPr="00212AA9">
        <w:rPr>
          <w:rFonts w:ascii="Arial" w:eastAsia="Calibri" w:hAnsi="Arial" w:cs="Arial"/>
          <w:spacing w:val="-1"/>
          <w:sz w:val="22"/>
          <w:szCs w:val="17"/>
        </w:rPr>
        <w:t>caso</w:t>
      </w:r>
      <w:r>
        <w:rPr>
          <w:rFonts w:ascii="Arial" w:eastAsia="Calibri" w:hAnsi="Arial" w:cs="Arial"/>
          <w:spacing w:val="-1"/>
          <w:sz w:val="22"/>
          <w:szCs w:val="17"/>
        </w:rPr>
        <w:t xml:space="preserve"> </w:t>
      </w:r>
      <w:r w:rsidRPr="00212AA9">
        <w:rPr>
          <w:rFonts w:ascii="Arial" w:eastAsia="Calibri" w:hAnsi="Arial" w:cs="Arial"/>
          <w:spacing w:val="-1"/>
          <w:sz w:val="22"/>
          <w:szCs w:val="17"/>
        </w:rPr>
        <w:t>de</w:t>
      </w:r>
      <w:r>
        <w:rPr>
          <w:rFonts w:ascii="Arial" w:eastAsia="Calibri" w:hAnsi="Arial" w:cs="Arial"/>
          <w:spacing w:val="-1"/>
          <w:sz w:val="22"/>
          <w:szCs w:val="17"/>
        </w:rPr>
        <w:t xml:space="preserve"> </w:t>
      </w:r>
      <w:r w:rsidRPr="00212AA9">
        <w:rPr>
          <w:rFonts w:ascii="Arial" w:eastAsia="Calibri" w:hAnsi="Arial" w:cs="Arial"/>
          <w:spacing w:val="-1"/>
          <w:sz w:val="22"/>
          <w:szCs w:val="17"/>
        </w:rPr>
        <w:t>la</w:t>
      </w:r>
      <w:r>
        <w:rPr>
          <w:rFonts w:ascii="Arial" w:eastAsia="Calibri" w:hAnsi="Arial" w:cs="Arial"/>
          <w:spacing w:val="-1"/>
          <w:sz w:val="22"/>
          <w:szCs w:val="17"/>
        </w:rPr>
        <w:t xml:space="preserve"> </w:t>
      </w:r>
      <w:r w:rsidRPr="00212AA9">
        <w:rPr>
          <w:rFonts w:ascii="Arial" w:eastAsia="Calibri" w:hAnsi="Arial" w:cs="Arial"/>
          <w:spacing w:val="-1"/>
          <w:sz w:val="22"/>
          <w:szCs w:val="17"/>
        </w:rPr>
        <w:t>inflación</w:t>
      </w:r>
      <w:r>
        <w:rPr>
          <w:rFonts w:ascii="Arial" w:eastAsia="Calibri" w:hAnsi="Arial" w:cs="Arial"/>
          <w:spacing w:val="-1"/>
          <w:sz w:val="22"/>
          <w:szCs w:val="17"/>
        </w:rPr>
        <w:t xml:space="preserve"> </w:t>
      </w:r>
      <w:r w:rsidRPr="00212AA9">
        <w:rPr>
          <w:rFonts w:ascii="Arial" w:eastAsia="Calibri" w:hAnsi="Arial" w:cs="Arial"/>
          <w:spacing w:val="-1"/>
          <w:sz w:val="22"/>
          <w:szCs w:val="17"/>
        </w:rPr>
        <w:t>no</w:t>
      </w:r>
      <w:r>
        <w:rPr>
          <w:rFonts w:ascii="Arial" w:eastAsia="Calibri" w:hAnsi="Arial" w:cs="Arial"/>
          <w:spacing w:val="-1"/>
          <w:sz w:val="22"/>
          <w:szCs w:val="17"/>
        </w:rPr>
        <w:t xml:space="preserve"> </w:t>
      </w:r>
      <w:r w:rsidRPr="00212AA9">
        <w:rPr>
          <w:rFonts w:ascii="Arial" w:eastAsia="Calibri" w:hAnsi="Arial" w:cs="Arial"/>
          <w:spacing w:val="-1"/>
          <w:sz w:val="22"/>
          <w:szCs w:val="17"/>
        </w:rPr>
        <w:t>subyacente,</w:t>
      </w:r>
      <w:r>
        <w:rPr>
          <w:rFonts w:ascii="Arial" w:eastAsia="Calibri" w:hAnsi="Arial" w:cs="Arial"/>
          <w:spacing w:val="-1"/>
          <w:sz w:val="22"/>
          <w:szCs w:val="17"/>
        </w:rPr>
        <w:t xml:space="preserve"> </w:t>
      </w:r>
      <w:r w:rsidRPr="00212AA9">
        <w:rPr>
          <w:rFonts w:ascii="Arial" w:eastAsia="Calibri" w:hAnsi="Arial" w:cs="Arial"/>
          <w:spacing w:val="-1"/>
          <w:sz w:val="22"/>
          <w:szCs w:val="17"/>
        </w:rPr>
        <w:t>el</w:t>
      </w:r>
      <w:r>
        <w:rPr>
          <w:rFonts w:ascii="Arial" w:eastAsia="Calibri" w:hAnsi="Arial" w:cs="Arial"/>
          <w:spacing w:val="-1"/>
          <w:sz w:val="22"/>
          <w:szCs w:val="17"/>
        </w:rPr>
        <w:t xml:space="preserve"> </w:t>
      </w:r>
      <w:r w:rsidRPr="00212AA9">
        <w:rPr>
          <w:rFonts w:ascii="Arial" w:eastAsia="Calibri" w:hAnsi="Arial" w:cs="Arial"/>
          <w:spacing w:val="-1"/>
          <w:sz w:val="22"/>
          <w:szCs w:val="17"/>
        </w:rPr>
        <w:t>aumento</w:t>
      </w:r>
      <w:r>
        <w:rPr>
          <w:rFonts w:ascii="Arial" w:eastAsia="Calibri" w:hAnsi="Arial" w:cs="Arial"/>
          <w:spacing w:val="-1"/>
          <w:sz w:val="22"/>
          <w:szCs w:val="17"/>
        </w:rPr>
        <w:t xml:space="preserve"> </w:t>
      </w:r>
      <w:r w:rsidRPr="00212AA9">
        <w:rPr>
          <w:rFonts w:ascii="Arial" w:eastAsia="Calibri" w:hAnsi="Arial" w:cs="Arial"/>
          <w:spacing w:val="-1"/>
          <w:sz w:val="22"/>
          <w:szCs w:val="17"/>
        </w:rPr>
        <w:t>en</w:t>
      </w:r>
      <w:r>
        <w:rPr>
          <w:rFonts w:ascii="Arial" w:eastAsia="Calibri" w:hAnsi="Arial" w:cs="Arial"/>
          <w:spacing w:val="-1"/>
          <w:sz w:val="22"/>
          <w:szCs w:val="17"/>
        </w:rPr>
        <w:t xml:space="preserve"> </w:t>
      </w:r>
      <w:r w:rsidRPr="00212AA9">
        <w:rPr>
          <w:rFonts w:ascii="Arial" w:eastAsia="Calibri" w:hAnsi="Arial" w:cs="Arial"/>
          <w:spacing w:val="-1"/>
          <w:sz w:val="22"/>
          <w:szCs w:val="17"/>
        </w:rPr>
        <w:t>el</w:t>
      </w:r>
      <w:r>
        <w:rPr>
          <w:rFonts w:ascii="Arial" w:eastAsia="Calibri" w:hAnsi="Arial" w:cs="Arial"/>
          <w:spacing w:val="-1"/>
          <w:sz w:val="22"/>
          <w:szCs w:val="17"/>
        </w:rPr>
        <w:t xml:space="preserve"> </w:t>
      </w:r>
      <w:r w:rsidRPr="00212AA9">
        <w:rPr>
          <w:rFonts w:ascii="Arial" w:eastAsia="Calibri" w:hAnsi="Arial" w:cs="Arial"/>
          <w:spacing w:val="-1"/>
          <w:sz w:val="22"/>
          <w:szCs w:val="17"/>
        </w:rPr>
        <w:t>3T-2018</w:t>
      </w:r>
      <w:r>
        <w:rPr>
          <w:rFonts w:ascii="Arial" w:eastAsia="Calibri" w:hAnsi="Arial" w:cs="Arial"/>
          <w:spacing w:val="-1"/>
          <w:sz w:val="22"/>
          <w:szCs w:val="17"/>
        </w:rPr>
        <w:t xml:space="preserve"> </w:t>
      </w:r>
      <w:r w:rsidRPr="00212AA9">
        <w:rPr>
          <w:rFonts w:ascii="Arial" w:eastAsia="Calibri" w:hAnsi="Arial" w:cs="Arial"/>
          <w:spacing w:val="-1"/>
          <w:sz w:val="22"/>
          <w:szCs w:val="17"/>
        </w:rPr>
        <w:t>se</w:t>
      </w:r>
      <w:r>
        <w:rPr>
          <w:rFonts w:ascii="Arial" w:eastAsia="Calibri" w:hAnsi="Arial" w:cs="Arial"/>
          <w:spacing w:val="-1"/>
          <w:sz w:val="22"/>
          <w:szCs w:val="17"/>
        </w:rPr>
        <w:t xml:space="preserve"> </w:t>
      </w:r>
      <w:r w:rsidRPr="00212AA9">
        <w:rPr>
          <w:rFonts w:ascii="Arial" w:eastAsia="Calibri" w:hAnsi="Arial" w:cs="Arial"/>
          <w:spacing w:val="-1"/>
          <w:sz w:val="22"/>
          <w:szCs w:val="17"/>
        </w:rPr>
        <w:t>debe</w:t>
      </w:r>
      <w:r>
        <w:rPr>
          <w:rFonts w:ascii="Arial" w:eastAsia="Calibri" w:hAnsi="Arial" w:cs="Arial"/>
          <w:spacing w:val="-1"/>
          <w:sz w:val="22"/>
          <w:szCs w:val="17"/>
        </w:rPr>
        <w:t xml:space="preserve"> </w:t>
      </w:r>
      <w:r w:rsidRPr="00212AA9">
        <w:rPr>
          <w:rFonts w:ascii="Arial" w:eastAsia="Calibri" w:hAnsi="Arial" w:cs="Arial"/>
          <w:spacing w:val="-1"/>
          <w:sz w:val="22"/>
          <w:szCs w:val="17"/>
        </w:rPr>
        <w:t>a</w:t>
      </w:r>
      <w:r>
        <w:rPr>
          <w:rFonts w:ascii="Arial" w:eastAsia="Calibri" w:hAnsi="Arial" w:cs="Arial"/>
          <w:spacing w:val="-1"/>
          <w:sz w:val="22"/>
          <w:szCs w:val="17"/>
        </w:rPr>
        <w:t xml:space="preserve"> </w:t>
      </w:r>
      <w:r w:rsidRPr="00212AA9">
        <w:rPr>
          <w:rFonts w:ascii="Arial" w:eastAsia="Calibri" w:hAnsi="Arial" w:cs="Arial"/>
          <w:spacing w:val="-1"/>
          <w:sz w:val="22"/>
          <w:szCs w:val="17"/>
        </w:rPr>
        <w:t>las</w:t>
      </w:r>
      <w:r>
        <w:rPr>
          <w:rFonts w:ascii="Arial" w:eastAsia="Calibri" w:hAnsi="Arial" w:cs="Arial"/>
          <w:spacing w:val="-1"/>
          <w:sz w:val="22"/>
          <w:szCs w:val="17"/>
        </w:rPr>
        <w:t xml:space="preserve"> </w:t>
      </w:r>
      <w:r w:rsidRPr="00212AA9">
        <w:rPr>
          <w:rFonts w:ascii="Arial" w:eastAsia="Calibri" w:hAnsi="Arial" w:cs="Arial"/>
          <w:spacing w:val="-1"/>
          <w:sz w:val="22"/>
          <w:szCs w:val="17"/>
        </w:rPr>
        <w:t>mayores</w:t>
      </w:r>
      <w:r>
        <w:rPr>
          <w:rFonts w:ascii="Arial" w:eastAsia="Calibri" w:hAnsi="Arial" w:cs="Arial"/>
          <w:spacing w:val="-1"/>
          <w:sz w:val="22"/>
          <w:szCs w:val="17"/>
        </w:rPr>
        <w:t xml:space="preserve"> </w:t>
      </w:r>
      <w:r w:rsidRPr="00212AA9">
        <w:rPr>
          <w:rFonts w:ascii="Arial" w:eastAsia="Calibri" w:hAnsi="Arial" w:cs="Arial"/>
          <w:spacing w:val="-1"/>
          <w:sz w:val="22"/>
          <w:szCs w:val="17"/>
        </w:rPr>
        <w:t>tasas</w:t>
      </w:r>
      <w:r>
        <w:rPr>
          <w:rFonts w:ascii="Arial" w:eastAsia="Calibri" w:hAnsi="Arial" w:cs="Arial"/>
          <w:spacing w:val="-1"/>
          <w:sz w:val="22"/>
          <w:szCs w:val="17"/>
        </w:rPr>
        <w:t xml:space="preserve"> </w:t>
      </w:r>
      <w:r w:rsidRPr="00212AA9">
        <w:rPr>
          <w:rFonts w:ascii="Arial" w:eastAsia="Calibri" w:hAnsi="Arial" w:cs="Arial"/>
          <w:spacing w:val="-1"/>
          <w:sz w:val="22"/>
          <w:szCs w:val="17"/>
        </w:rPr>
        <w:t>de</w:t>
      </w:r>
      <w:r>
        <w:rPr>
          <w:rFonts w:ascii="Arial" w:eastAsia="Calibri" w:hAnsi="Arial" w:cs="Arial"/>
          <w:spacing w:val="-1"/>
          <w:sz w:val="22"/>
          <w:szCs w:val="17"/>
        </w:rPr>
        <w:t xml:space="preserve"> </w:t>
      </w:r>
      <w:r w:rsidRPr="00212AA9">
        <w:rPr>
          <w:rFonts w:ascii="Arial" w:eastAsia="Calibri" w:hAnsi="Arial" w:cs="Arial"/>
          <w:spacing w:val="-1"/>
          <w:sz w:val="22"/>
          <w:szCs w:val="17"/>
        </w:rPr>
        <w:t>crecimiento</w:t>
      </w:r>
      <w:r>
        <w:rPr>
          <w:rFonts w:ascii="Arial" w:eastAsia="Calibri" w:hAnsi="Arial" w:cs="Arial"/>
          <w:spacing w:val="-1"/>
          <w:sz w:val="22"/>
          <w:szCs w:val="17"/>
        </w:rPr>
        <w:t xml:space="preserve"> </w:t>
      </w:r>
      <w:r w:rsidRPr="00212AA9">
        <w:rPr>
          <w:rFonts w:ascii="Arial" w:eastAsia="Calibri" w:hAnsi="Arial" w:cs="Arial"/>
          <w:spacing w:val="-1"/>
          <w:sz w:val="22"/>
          <w:szCs w:val="17"/>
        </w:rPr>
        <w:t>de</w:t>
      </w:r>
      <w:r>
        <w:rPr>
          <w:rFonts w:ascii="Arial" w:eastAsia="Calibri" w:hAnsi="Arial" w:cs="Arial"/>
          <w:spacing w:val="-1"/>
          <w:sz w:val="22"/>
          <w:szCs w:val="17"/>
        </w:rPr>
        <w:t xml:space="preserve"> </w:t>
      </w:r>
      <w:r w:rsidRPr="00212AA9">
        <w:rPr>
          <w:rFonts w:ascii="Arial" w:eastAsia="Calibri" w:hAnsi="Arial" w:cs="Arial"/>
          <w:spacing w:val="-1"/>
          <w:sz w:val="22"/>
          <w:szCs w:val="17"/>
        </w:rPr>
        <w:t>los</w:t>
      </w:r>
      <w:r>
        <w:rPr>
          <w:rFonts w:ascii="Arial" w:eastAsia="Calibri" w:hAnsi="Arial" w:cs="Arial"/>
          <w:spacing w:val="-1"/>
          <w:sz w:val="22"/>
          <w:szCs w:val="17"/>
        </w:rPr>
        <w:t xml:space="preserve"> </w:t>
      </w:r>
      <w:r w:rsidRPr="00212AA9">
        <w:rPr>
          <w:rFonts w:ascii="Arial" w:eastAsia="Calibri" w:hAnsi="Arial" w:cs="Arial"/>
          <w:spacing w:val="-1"/>
          <w:sz w:val="22"/>
          <w:szCs w:val="17"/>
        </w:rPr>
        <w:t>precios</w:t>
      </w:r>
      <w:r>
        <w:rPr>
          <w:rFonts w:ascii="Arial" w:eastAsia="Calibri" w:hAnsi="Arial" w:cs="Arial"/>
          <w:spacing w:val="-1"/>
          <w:sz w:val="22"/>
          <w:szCs w:val="17"/>
        </w:rPr>
        <w:t xml:space="preserve"> </w:t>
      </w:r>
      <w:r w:rsidRPr="00212AA9">
        <w:rPr>
          <w:rFonts w:ascii="Arial" w:eastAsia="Calibri" w:hAnsi="Arial" w:cs="Arial"/>
          <w:spacing w:val="-1"/>
          <w:sz w:val="22"/>
          <w:szCs w:val="17"/>
        </w:rPr>
        <w:t>de</w:t>
      </w:r>
      <w:r>
        <w:rPr>
          <w:rFonts w:ascii="Arial" w:eastAsia="Calibri" w:hAnsi="Arial" w:cs="Arial"/>
          <w:spacing w:val="-1"/>
          <w:sz w:val="22"/>
          <w:szCs w:val="17"/>
        </w:rPr>
        <w:t xml:space="preserve"> </w:t>
      </w:r>
      <w:r w:rsidRPr="00212AA9">
        <w:rPr>
          <w:rFonts w:ascii="Arial" w:eastAsia="Calibri" w:hAnsi="Arial" w:cs="Arial"/>
          <w:spacing w:val="-1"/>
          <w:sz w:val="22"/>
          <w:szCs w:val="17"/>
        </w:rPr>
        <w:t>los</w:t>
      </w:r>
      <w:r>
        <w:rPr>
          <w:rFonts w:ascii="Arial" w:eastAsia="Calibri" w:hAnsi="Arial" w:cs="Arial"/>
          <w:spacing w:val="-1"/>
          <w:sz w:val="22"/>
          <w:szCs w:val="17"/>
        </w:rPr>
        <w:t xml:space="preserve"> </w:t>
      </w:r>
      <w:r w:rsidRPr="00212AA9">
        <w:rPr>
          <w:rFonts w:ascii="Arial" w:eastAsia="Calibri" w:hAnsi="Arial" w:cs="Arial"/>
          <w:spacing w:val="-1"/>
          <w:sz w:val="22"/>
          <w:szCs w:val="17"/>
        </w:rPr>
        <w:t>energéticos.</w:t>
      </w:r>
      <w:r>
        <w:rPr>
          <w:rFonts w:ascii="Arial" w:eastAsia="Calibri" w:hAnsi="Arial" w:cs="Arial"/>
          <w:spacing w:val="-1"/>
          <w:sz w:val="22"/>
          <w:szCs w:val="17"/>
        </w:rPr>
        <w:t xml:space="preserve"> </w:t>
      </w:r>
      <w:r w:rsidRPr="00212AA9">
        <w:rPr>
          <w:rFonts w:ascii="Arial" w:eastAsia="Calibri" w:hAnsi="Arial" w:cs="Arial"/>
          <w:spacing w:val="-1"/>
          <w:sz w:val="22"/>
          <w:szCs w:val="17"/>
        </w:rPr>
        <w:t>En</w:t>
      </w:r>
      <w:r>
        <w:rPr>
          <w:rFonts w:ascii="Arial" w:eastAsia="Calibri" w:hAnsi="Arial" w:cs="Arial"/>
          <w:spacing w:val="-1"/>
          <w:sz w:val="22"/>
          <w:szCs w:val="17"/>
        </w:rPr>
        <w:t xml:space="preserve"> </w:t>
      </w:r>
      <w:r w:rsidRPr="00212AA9">
        <w:rPr>
          <w:rFonts w:ascii="Arial" w:eastAsia="Calibri" w:hAnsi="Arial" w:cs="Arial"/>
          <w:spacing w:val="-1"/>
          <w:sz w:val="22"/>
          <w:szCs w:val="17"/>
        </w:rPr>
        <w:t>particular,</w:t>
      </w:r>
      <w:r>
        <w:rPr>
          <w:rFonts w:ascii="Arial" w:eastAsia="Calibri" w:hAnsi="Arial" w:cs="Arial"/>
          <w:spacing w:val="-1"/>
          <w:sz w:val="22"/>
          <w:szCs w:val="17"/>
        </w:rPr>
        <w:t xml:space="preserve"> </w:t>
      </w:r>
      <w:r w:rsidRPr="00212AA9">
        <w:rPr>
          <w:rFonts w:ascii="Arial" w:eastAsia="Calibri" w:hAnsi="Arial" w:cs="Arial"/>
          <w:spacing w:val="-1"/>
          <w:sz w:val="22"/>
          <w:szCs w:val="17"/>
        </w:rPr>
        <w:t>el</w:t>
      </w:r>
      <w:r>
        <w:rPr>
          <w:rFonts w:ascii="Arial" w:eastAsia="Calibri" w:hAnsi="Arial" w:cs="Arial"/>
          <w:spacing w:val="-1"/>
          <w:sz w:val="22"/>
          <w:szCs w:val="17"/>
        </w:rPr>
        <w:t xml:space="preserve"> </w:t>
      </w:r>
      <w:r w:rsidRPr="00212AA9">
        <w:rPr>
          <w:rFonts w:ascii="Arial" w:eastAsia="Calibri" w:hAnsi="Arial" w:cs="Arial"/>
          <w:spacing w:val="-1"/>
          <w:sz w:val="22"/>
          <w:szCs w:val="17"/>
        </w:rPr>
        <w:t>incremento</w:t>
      </w:r>
      <w:r>
        <w:rPr>
          <w:rFonts w:ascii="Arial" w:eastAsia="Calibri" w:hAnsi="Arial" w:cs="Arial"/>
          <w:spacing w:val="-1"/>
          <w:sz w:val="22"/>
          <w:szCs w:val="17"/>
        </w:rPr>
        <w:t xml:space="preserve"> </w:t>
      </w:r>
      <w:r w:rsidRPr="00212AA9">
        <w:rPr>
          <w:rFonts w:ascii="Arial" w:eastAsia="Calibri" w:hAnsi="Arial" w:cs="Arial"/>
          <w:spacing w:val="-1"/>
          <w:sz w:val="22"/>
          <w:szCs w:val="17"/>
        </w:rPr>
        <w:t>de</w:t>
      </w:r>
      <w:r>
        <w:rPr>
          <w:rFonts w:ascii="Arial" w:eastAsia="Calibri" w:hAnsi="Arial" w:cs="Arial"/>
          <w:spacing w:val="-1"/>
          <w:sz w:val="22"/>
          <w:szCs w:val="17"/>
        </w:rPr>
        <w:t xml:space="preserve"> </w:t>
      </w:r>
      <w:r w:rsidRPr="00212AA9">
        <w:rPr>
          <w:rFonts w:ascii="Arial" w:eastAsia="Calibri" w:hAnsi="Arial" w:cs="Arial"/>
          <w:spacing w:val="-1"/>
          <w:sz w:val="22"/>
          <w:szCs w:val="17"/>
        </w:rPr>
        <w:t>los</w:t>
      </w:r>
      <w:r>
        <w:rPr>
          <w:rFonts w:ascii="Arial" w:eastAsia="Calibri" w:hAnsi="Arial" w:cs="Arial"/>
          <w:spacing w:val="-1"/>
          <w:sz w:val="22"/>
          <w:szCs w:val="17"/>
        </w:rPr>
        <w:t xml:space="preserve"> </w:t>
      </w:r>
      <w:r w:rsidRPr="00212AA9">
        <w:rPr>
          <w:rFonts w:ascii="Arial" w:eastAsia="Calibri" w:hAnsi="Arial" w:cs="Arial"/>
          <w:spacing w:val="-1"/>
          <w:sz w:val="22"/>
          <w:szCs w:val="17"/>
        </w:rPr>
        <w:t>precios</w:t>
      </w:r>
      <w:r>
        <w:rPr>
          <w:rFonts w:ascii="Arial" w:eastAsia="Calibri" w:hAnsi="Arial" w:cs="Arial"/>
          <w:spacing w:val="-1"/>
          <w:sz w:val="22"/>
          <w:szCs w:val="17"/>
        </w:rPr>
        <w:t xml:space="preserve"> </w:t>
      </w:r>
      <w:r w:rsidRPr="00212AA9">
        <w:rPr>
          <w:rFonts w:ascii="Arial" w:eastAsia="Calibri" w:hAnsi="Arial" w:cs="Arial"/>
          <w:spacing w:val="-1"/>
          <w:sz w:val="22"/>
          <w:szCs w:val="17"/>
        </w:rPr>
        <w:t>de</w:t>
      </w:r>
      <w:r>
        <w:rPr>
          <w:rFonts w:ascii="Arial" w:eastAsia="Calibri" w:hAnsi="Arial" w:cs="Arial"/>
          <w:spacing w:val="-1"/>
          <w:sz w:val="22"/>
          <w:szCs w:val="17"/>
        </w:rPr>
        <w:t xml:space="preserve"> </w:t>
      </w:r>
      <w:r w:rsidRPr="00212AA9">
        <w:rPr>
          <w:rFonts w:ascii="Arial" w:eastAsia="Calibri" w:hAnsi="Arial" w:cs="Arial"/>
          <w:spacing w:val="-1"/>
          <w:sz w:val="22"/>
          <w:szCs w:val="17"/>
        </w:rPr>
        <w:t>las</w:t>
      </w:r>
      <w:r>
        <w:rPr>
          <w:rFonts w:ascii="Arial" w:eastAsia="Calibri" w:hAnsi="Arial" w:cs="Arial"/>
          <w:spacing w:val="-1"/>
          <w:sz w:val="22"/>
          <w:szCs w:val="17"/>
        </w:rPr>
        <w:t xml:space="preserve"> </w:t>
      </w:r>
      <w:r w:rsidRPr="00212AA9">
        <w:rPr>
          <w:rFonts w:ascii="Arial" w:eastAsia="Calibri" w:hAnsi="Arial" w:cs="Arial"/>
          <w:spacing w:val="-1"/>
          <w:sz w:val="22"/>
          <w:szCs w:val="17"/>
        </w:rPr>
        <w:t>gasolinas,</w:t>
      </w:r>
      <w:r>
        <w:rPr>
          <w:rFonts w:ascii="Arial" w:eastAsia="Calibri" w:hAnsi="Arial" w:cs="Arial"/>
          <w:spacing w:val="-1"/>
          <w:sz w:val="22"/>
          <w:szCs w:val="17"/>
        </w:rPr>
        <w:t xml:space="preserve"> </w:t>
      </w:r>
      <w:r w:rsidRPr="00212AA9">
        <w:rPr>
          <w:rFonts w:ascii="Arial" w:eastAsia="Calibri" w:hAnsi="Arial" w:cs="Arial"/>
          <w:spacing w:val="-1"/>
          <w:sz w:val="22"/>
          <w:szCs w:val="17"/>
        </w:rPr>
        <w:t>del</w:t>
      </w:r>
      <w:r>
        <w:rPr>
          <w:rFonts w:ascii="Arial" w:eastAsia="Calibri" w:hAnsi="Arial" w:cs="Arial"/>
          <w:spacing w:val="-1"/>
          <w:sz w:val="22"/>
          <w:szCs w:val="17"/>
        </w:rPr>
        <w:t xml:space="preserve"> </w:t>
      </w:r>
      <w:r w:rsidRPr="00212AA9">
        <w:rPr>
          <w:rFonts w:ascii="Arial" w:eastAsia="Calibri" w:hAnsi="Arial" w:cs="Arial"/>
          <w:spacing w:val="-1"/>
          <w:sz w:val="22"/>
          <w:szCs w:val="17"/>
        </w:rPr>
        <w:t>gas</w:t>
      </w:r>
      <w:r>
        <w:rPr>
          <w:rFonts w:ascii="Arial" w:eastAsia="Calibri" w:hAnsi="Arial" w:cs="Arial"/>
          <w:spacing w:val="-1"/>
          <w:sz w:val="22"/>
          <w:szCs w:val="17"/>
        </w:rPr>
        <w:t xml:space="preserve"> </w:t>
      </w:r>
      <w:r w:rsidRPr="00212AA9">
        <w:rPr>
          <w:rFonts w:ascii="Arial" w:eastAsia="Calibri" w:hAnsi="Arial" w:cs="Arial"/>
          <w:spacing w:val="-1"/>
          <w:sz w:val="22"/>
          <w:szCs w:val="17"/>
        </w:rPr>
        <w:t>L.P.</w:t>
      </w:r>
      <w:r>
        <w:rPr>
          <w:rFonts w:ascii="Arial" w:eastAsia="Calibri" w:hAnsi="Arial" w:cs="Arial"/>
          <w:spacing w:val="-1"/>
          <w:sz w:val="22"/>
          <w:szCs w:val="17"/>
        </w:rPr>
        <w:t xml:space="preserve"> </w:t>
      </w:r>
      <w:r w:rsidRPr="00212AA9">
        <w:rPr>
          <w:rFonts w:ascii="Arial" w:eastAsia="Calibri" w:hAnsi="Arial" w:cs="Arial"/>
          <w:spacing w:val="-1"/>
          <w:sz w:val="22"/>
          <w:szCs w:val="17"/>
        </w:rPr>
        <w:t>y</w:t>
      </w:r>
      <w:r>
        <w:rPr>
          <w:rFonts w:ascii="Arial" w:eastAsia="Calibri" w:hAnsi="Arial" w:cs="Arial"/>
          <w:spacing w:val="-1"/>
          <w:sz w:val="22"/>
          <w:szCs w:val="17"/>
        </w:rPr>
        <w:t xml:space="preserve"> </w:t>
      </w:r>
      <w:r w:rsidRPr="00212AA9">
        <w:rPr>
          <w:rFonts w:ascii="Arial" w:eastAsia="Calibri" w:hAnsi="Arial" w:cs="Arial"/>
          <w:spacing w:val="-1"/>
          <w:sz w:val="22"/>
          <w:szCs w:val="17"/>
        </w:rPr>
        <w:t>en</w:t>
      </w:r>
      <w:r>
        <w:rPr>
          <w:rFonts w:ascii="Arial" w:eastAsia="Calibri" w:hAnsi="Arial" w:cs="Arial"/>
          <w:spacing w:val="-1"/>
          <w:sz w:val="22"/>
          <w:szCs w:val="17"/>
        </w:rPr>
        <w:t xml:space="preserve"> </w:t>
      </w:r>
      <w:r w:rsidRPr="00212AA9">
        <w:rPr>
          <w:rFonts w:ascii="Arial" w:eastAsia="Calibri" w:hAnsi="Arial" w:cs="Arial"/>
          <w:spacing w:val="-1"/>
          <w:sz w:val="22"/>
          <w:szCs w:val="17"/>
        </w:rPr>
        <w:t>las</w:t>
      </w:r>
      <w:r>
        <w:rPr>
          <w:rFonts w:ascii="Arial" w:eastAsia="Calibri" w:hAnsi="Arial" w:cs="Arial"/>
          <w:spacing w:val="-1"/>
          <w:sz w:val="22"/>
          <w:szCs w:val="17"/>
        </w:rPr>
        <w:t xml:space="preserve"> </w:t>
      </w:r>
      <w:r w:rsidRPr="00212AA9">
        <w:rPr>
          <w:rFonts w:ascii="Arial" w:eastAsia="Calibri" w:hAnsi="Arial" w:cs="Arial"/>
          <w:spacing w:val="-1"/>
          <w:sz w:val="22"/>
          <w:szCs w:val="17"/>
        </w:rPr>
        <w:t>tarifas</w:t>
      </w:r>
      <w:r>
        <w:rPr>
          <w:rFonts w:ascii="Arial" w:eastAsia="Calibri" w:hAnsi="Arial" w:cs="Arial"/>
          <w:spacing w:val="-1"/>
          <w:sz w:val="22"/>
          <w:szCs w:val="17"/>
        </w:rPr>
        <w:t xml:space="preserve"> </w:t>
      </w:r>
      <w:r w:rsidRPr="00212AA9">
        <w:rPr>
          <w:rFonts w:ascii="Arial" w:eastAsia="Calibri" w:hAnsi="Arial" w:cs="Arial"/>
          <w:spacing w:val="-1"/>
          <w:sz w:val="22"/>
          <w:szCs w:val="17"/>
        </w:rPr>
        <w:t>de</w:t>
      </w:r>
      <w:r>
        <w:rPr>
          <w:rFonts w:ascii="Arial" w:eastAsia="Calibri" w:hAnsi="Arial" w:cs="Arial"/>
          <w:spacing w:val="-1"/>
          <w:sz w:val="22"/>
          <w:szCs w:val="17"/>
        </w:rPr>
        <w:t xml:space="preserve"> </w:t>
      </w:r>
      <w:r w:rsidRPr="00212AA9">
        <w:rPr>
          <w:rFonts w:ascii="Arial" w:eastAsia="Calibri" w:hAnsi="Arial" w:cs="Arial"/>
          <w:spacing w:val="-1"/>
          <w:sz w:val="22"/>
          <w:szCs w:val="17"/>
        </w:rPr>
        <w:t>electricidad</w:t>
      </w:r>
      <w:r>
        <w:rPr>
          <w:rFonts w:ascii="Arial" w:eastAsia="Calibri" w:hAnsi="Arial" w:cs="Arial"/>
          <w:spacing w:val="-1"/>
          <w:sz w:val="22"/>
          <w:szCs w:val="17"/>
        </w:rPr>
        <w:t xml:space="preserve"> </w:t>
      </w:r>
      <w:r w:rsidRPr="00212AA9">
        <w:rPr>
          <w:rFonts w:ascii="Arial" w:eastAsia="Calibri" w:hAnsi="Arial" w:cs="Arial"/>
          <w:spacing w:val="-1"/>
          <w:sz w:val="22"/>
          <w:szCs w:val="17"/>
        </w:rPr>
        <w:t>en</w:t>
      </w:r>
      <w:r>
        <w:rPr>
          <w:rFonts w:ascii="Arial" w:eastAsia="Calibri" w:hAnsi="Arial" w:cs="Arial"/>
          <w:spacing w:val="-1"/>
          <w:sz w:val="22"/>
          <w:szCs w:val="17"/>
        </w:rPr>
        <w:t xml:space="preserve"> </w:t>
      </w:r>
      <w:r w:rsidRPr="00212AA9">
        <w:rPr>
          <w:rFonts w:ascii="Arial" w:eastAsia="Calibri" w:hAnsi="Arial" w:cs="Arial"/>
          <w:spacing w:val="-1"/>
          <w:sz w:val="22"/>
          <w:szCs w:val="17"/>
        </w:rPr>
        <w:t>relación</w:t>
      </w:r>
      <w:r>
        <w:rPr>
          <w:rFonts w:ascii="Arial" w:eastAsia="Calibri" w:hAnsi="Arial" w:cs="Arial"/>
          <w:spacing w:val="-1"/>
          <w:sz w:val="22"/>
          <w:szCs w:val="17"/>
        </w:rPr>
        <w:t xml:space="preserve"> </w:t>
      </w:r>
      <w:r w:rsidRPr="00212AA9">
        <w:rPr>
          <w:rFonts w:ascii="Arial" w:eastAsia="Calibri" w:hAnsi="Arial" w:cs="Arial"/>
          <w:spacing w:val="-1"/>
          <w:sz w:val="22"/>
          <w:szCs w:val="17"/>
        </w:rPr>
        <w:t>al</w:t>
      </w:r>
      <w:r>
        <w:rPr>
          <w:rFonts w:ascii="Arial" w:eastAsia="Calibri" w:hAnsi="Arial" w:cs="Arial"/>
          <w:spacing w:val="-1"/>
          <w:sz w:val="22"/>
          <w:szCs w:val="17"/>
        </w:rPr>
        <w:t xml:space="preserve"> </w:t>
      </w:r>
      <w:r w:rsidRPr="00212AA9">
        <w:rPr>
          <w:rFonts w:ascii="Arial" w:eastAsia="Calibri" w:hAnsi="Arial" w:cs="Arial"/>
          <w:spacing w:val="-1"/>
          <w:sz w:val="22"/>
          <w:szCs w:val="17"/>
        </w:rPr>
        <w:t>mismo</w:t>
      </w:r>
      <w:r>
        <w:rPr>
          <w:rFonts w:ascii="Arial" w:eastAsia="Calibri" w:hAnsi="Arial" w:cs="Arial"/>
          <w:spacing w:val="-1"/>
          <w:sz w:val="22"/>
          <w:szCs w:val="17"/>
        </w:rPr>
        <w:t xml:space="preserve"> </w:t>
      </w:r>
      <w:r w:rsidRPr="00212AA9">
        <w:rPr>
          <w:rFonts w:ascii="Arial" w:eastAsia="Calibri" w:hAnsi="Arial" w:cs="Arial"/>
          <w:spacing w:val="-1"/>
          <w:sz w:val="22"/>
          <w:szCs w:val="17"/>
        </w:rPr>
        <w:t>periodo</w:t>
      </w:r>
      <w:r>
        <w:rPr>
          <w:rFonts w:ascii="Arial" w:eastAsia="Calibri" w:hAnsi="Arial" w:cs="Arial"/>
          <w:spacing w:val="-1"/>
          <w:sz w:val="22"/>
          <w:szCs w:val="17"/>
        </w:rPr>
        <w:t xml:space="preserve"> </w:t>
      </w:r>
      <w:r w:rsidRPr="00212AA9">
        <w:rPr>
          <w:rFonts w:ascii="Arial" w:eastAsia="Calibri" w:hAnsi="Arial" w:cs="Arial"/>
          <w:spacing w:val="-1"/>
          <w:sz w:val="22"/>
          <w:szCs w:val="17"/>
        </w:rPr>
        <w:t>de</w:t>
      </w:r>
      <w:r>
        <w:rPr>
          <w:rFonts w:ascii="Arial" w:eastAsia="Calibri" w:hAnsi="Arial" w:cs="Arial"/>
          <w:spacing w:val="-1"/>
          <w:sz w:val="22"/>
          <w:szCs w:val="17"/>
        </w:rPr>
        <w:t xml:space="preserve"> </w:t>
      </w:r>
      <w:r w:rsidRPr="00212AA9">
        <w:rPr>
          <w:rFonts w:ascii="Arial" w:eastAsia="Calibri" w:hAnsi="Arial" w:cs="Arial"/>
          <w:spacing w:val="-1"/>
          <w:sz w:val="22"/>
          <w:szCs w:val="17"/>
        </w:rPr>
        <w:t>2017.</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La</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inflación</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subyacente</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mostró</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resistencia</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a</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disminuir.</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Ello</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debido,</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en</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parte,</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a</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los</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efectos</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indirectos</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de</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los</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aumentos</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en</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los</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precios</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de</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los</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energéticos,</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así</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como</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a</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la</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trayectoria</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creciente</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del</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rubro</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de</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servicios</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distintos</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a</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la</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vivienda</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y</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a</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la</w:t>
      </w:r>
      <w:r w:rsidR="006F5671">
        <w:rPr>
          <w:rFonts w:ascii="Arial" w:eastAsia="Calibri" w:hAnsi="Arial" w:cs="Arial"/>
          <w:spacing w:val="-1"/>
          <w:sz w:val="22"/>
          <w:szCs w:val="17"/>
        </w:rPr>
        <w:t xml:space="preserve"> </w:t>
      </w:r>
      <w:r w:rsidR="006F5671" w:rsidRPr="006F5671">
        <w:rPr>
          <w:rFonts w:ascii="Arial" w:eastAsia="Calibri" w:hAnsi="Arial" w:cs="Arial"/>
          <w:spacing w:val="-1"/>
          <w:sz w:val="22"/>
          <w:szCs w:val="17"/>
        </w:rPr>
        <w:t>educación.</w:t>
      </w:r>
    </w:p>
    <w:p w:rsidR="00C11B24" w:rsidRPr="00DF5A40" w:rsidRDefault="00C11B24" w:rsidP="00F61614">
      <w:pPr>
        <w:pStyle w:val="Prrafodelista"/>
        <w:numPr>
          <w:ilvl w:val="0"/>
          <w:numId w:val="45"/>
        </w:numPr>
        <w:autoSpaceDE w:val="0"/>
        <w:autoSpaceDN w:val="0"/>
        <w:adjustRightInd w:val="0"/>
        <w:spacing w:line="480" w:lineRule="auto"/>
        <w:jc w:val="both"/>
        <w:rPr>
          <w:rFonts w:ascii="Arial" w:eastAsia="Calibri" w:hAnsi="Arial" w:cs="Arial"/>
          <w:spacing w:val="-1"/>
          <w:sz w:val="22"/>
          <w:szCs w:val="17"/>
        </w:rPr>
      </w:pPr>
      <w:r w:rsidRPr="00DF5A40">
        <w:rPr>
          <w:rFonts w:ascii="Arial" w:eastAsia="Calibri" w:hAnsi="Arial" w:cs="Arial"/>
          <w:spacing w:val="-1"/>
          <w:sz w:val="22"/>
          <w:szCs w:val="17"/>
        </w:rPr>
        <w:lastRenderedPageBreak/>
        <w:t xml:space="preserve">A partir de mediados de octubre, los mercados financieros fueron afectados por factores idiosincráticos relacionados con el anuncio sobre el Proyecto del NAICM, con la incertidumbre entorno al modelo de negocios que adoptará Pemex, y por la posible adopción de políticas e iniciativas, lo que llevó a agencias calificadoras a cambiar la perspectiva de deuda soberana de estable a negativa. Así, el peso se depreció de manera importante y su volatilidad se </w:t>
      </w:r>
      <w:r w:rsidR="00DF5A40" w:rsidRPr="00DF5A40">
        <w:rPr>
          <w:rFonts w:ascii="Arial" w:eastAsia="Calibri" w:hAnsi="Arial" w:cs="Arial"/>
          <w:spacing w:val="-1"/>
          <w:sz w:val="22"/>
          <w:szCs w:val="17"/>
        </w:rPr>
        <w:t xml:space="preserve">incrementó, el tipo de cambio registró una depreciación importante, de aproximadamente 8.4%, de la tercera semana de octubre a finales de noviembre, para ubicarse alrededor de 20.50 pesos por dólar; </w:t>
      </w:r>
      <w:r w:rsidR="00DF5A40">
        <w:rPr>
          <w:rFonts w:ascii="Arial" w:eastAsia="Calibri" w:hAnsi="Arial" w:cs="Arial"/>
          <w:spacing w:val="-1"/>
          <w:sz w:val="22"/>
          <w:szCs w:val="17"/>
        </w:rPr>
        <w:t xml:space="preserve">además de </w:t>
      </w:r>
      <w:r w:rsidR="00526741" w:rsidRPr="00DF5A40">
        <w:rPr>
          <w:rFonts w:ascii="Arial" w:eastAsia="Calibri" w:hAnsi="Arial" w:cs="Arial"/>
          <w:spacing w:val="-1"/>
          <w:sz w:val="22"/>
          <w:szCs w:val="17"/>
        </w:rPr>
        <w:t>aumentos en las primas por riesgo soberano y en las tasas de interés, especialmente las de mayor plazo.</w:t>
      </w:r>
    </w:p>
    <w:p w:rsidR="006210E5" w:rsidRDefault="006210E5" w:rsidP="006210E5">
      <w:pPr>
        <w:pStyle w:val="Prrafodelista"/>
        <w:numPr>
          <w:ilvl w:val="0"/>
          <w:numId w:val="45"/>
        </w:numPr>
        <w:autoSpaceDE w:val="0"/>
        <w:autoSpaceDN w:val="0"/>
        <w:adjustRightInd w:val="0"/>
        <w:spacing w:line="480" w:lineRule="auto"/>
        <w:jc w:val="both"/>
        <w:rPr>
          <w:rFonts w:ascii="Arial" w:eastAsia="Calibri" w:hAnsi="Arial" w:cs="Arial"/>
          <w:spacing w:val="-1"/>
          <w:sz w:val="22"/>
          <w:szCs w:val="17"/>
        </w:rPr>
      </w:pPr>
      <w:r w:rsidRPr="006210E5">
        <w:rPr>
          <w:rFonts w:ascii="Arial" w:eastAsia="Calibri" w:hAnsi="Arial" w:cs="Arial"/>
          <w:spacing w:val="-1"/>
          <w:sz w:val="22"/>
          <w:szCs w:val="17"/>
        </w:rPr>
        <w:t>En el tercer trimestre de 2018, la actividad económica en México presentó un repunte, después de la contracción observada en el periodo abril–junio. En particular, las exportaciones manufactureras registraron un mayor ritmo de crecimiento respecto de la pérdida de dinamismo exhibida en el segundo</w:t>
      </w:r>
      <w:r>
        <w:rPr>
          <w:rFonts w:ascii="Arial" w:eastAsia="Calibri" w:hAnsi="Arial" w:cs="Arial"/>
          <w:spacing w:val="-1"/>
          <w:sz w:val="22"/>
          <w:szCs w:val="17"/>
        </w:rPr>
        <w:t xml:space="preserve"> </w:t>
      </w:r>
      <w:r w:rsidRPr="006210E5">
        <w:rPr>
          <w:rFonts w:ascii="Arial" w:eastAsia="Calibri" w:hAnsi="Arial" w:cs="Arial"/>
          <w:spacing w:val="-1"/>
          <w:sz w:val="22"/>
          <w:szCs w:val="17"/>
        </w:rPr>
        <w:t>trimestre, al tiempo que el consumo privado mantuvo una trayectoria positiva.</w:t>
      </w:r>
      <w:r>
        <w:rPr>
          <w:rFonts w:ascii="Arial" w:eastAsia="Calibri" w:hAnsi="Arial" w:cs="Arial"/>
          <w:spacing w:val="-1"/>
          <w:sz w:val="22"/>
          <w:szCs w:val="17"/>
        </w:rPr>
        <w:t xml:space="preserve"> </w:t>
      </w:r>
      <w:r w:rsidRPr="006210E5">
        <w:rPr>
          <w:rFonts w:ascii="Arial" w:eastAsia="Calibri" w:hAnsi="Arial" w:cs="Arial"/>
          <w:spacing w:val="-1"/>
          <w:sz w:val="22"/>
          <w:szCs w:val="17"/>
        </w:rPr>
        <w:t>Las perspectivas de crecimiento de la economía mexicana para</w:t>
      </w:r>
      <w:r>
        <w:rPr>
          <w:rFonts w:ascii="Arial" w:eastAsia="Calibri" w:hAnsi="Arial" w:cs="Arial"/>
          <w:spacing w:val="-1"/>
          <w:sz w:val="22"/>
          <w:szCs w:val="17"/>
        </w:rPr>
        <w:t xml:space="preserve"> el cierre de </w:t>
      </w:r>
      <w:r w:rsidRPr="006210E5">
        <w:rPr>
          <w:rFonts w:ascii="Arial" w:eastAsia="Calibri" w:hAnsi="Arial" w:cs="Arial"/>
          <w:spacing w:val="-1"/>
          <w:sz w:val="22"/>
          <w:szCs w:val="17"/>
        </w:rPr>
        <w:t>2018 se revisan de un intervalo de entre 2.0 a 2.6% en el Informe anterior a uno de entre 2.0 y 2.4%, mientras que para 2019 se modifican de un intervalo de entre 1.8 a 2.8% a uno de entre 1.7 y 2.7%, en ambos casos como reflejo de la mayor informa</w:t>
      </w:r>
      <w:r>
        <w:rPr>
          <w:rFonts w:ascii="Arial" w:eastAsia="Calibri" w:hAnsi="Arial" w:cs="Arial"/>
          <w:spacing w:val="-1"/>
          <w:sz w:val="22"/>
          <w:szCs w:val="17"/>
        </w:rPr>
        <w:t>ción disponible</w:t>
      </w:r>
      <w:r w:rsidRPr="006210E5">
        <w:rPr>
          <w:rFonts w:ascii="Arial" w:eastAsia="Calibri" w:hAnsi="Arial" w:cs="Arial"/>
          <w:spacing w:val="-1"/>
          <w:sz w:val="22"/>
          <w:szCs w:val="17"/>
        </w:rPr>
        <w:t>.</w:t>
      </w:r>
    </w:p>
    <w:p w:rsidR="004C2A7A" w:rsidRDefault="004C2A7A" w:rsidP="004C2A7A">
      <w:pPr>
        <w:pStyle w:val="Prrafodelista"/>
        <w:numPr>
          <w:ilvl w:val="0"/>
          <w:numId w:val="45"/>
        </w:numPr>
        <w:autoSpaceDE w:val="0"/>
        <w:autoSpaceDN w:val="0"/>
        <w:adjustRightInd w:val="0"/>
        <w:spacing w:line="480" w:lineRule="auto"/>
        <w:jc w:val="both"/>
        <w:rPr>
          <w:rFonts w:ascii="Arial" w:eastAsia="Calibri" w:hAnsi="Arial" w:cs="Arial"/>
          <w:spacing w:val="-1"/>
          <w:sz w:val="22"/>
          <w:szCs w:val="17"/>
        </w:rPr>
      </w:pPr>
      <w:r w:rsidRPr="004C2A7A">
        <w:rPr>
          <w:rFonts w:ascii="Arial" w:eastAsia="Calibri" w:hAnsi="Arial" w:cs="Arial"/>
          <w:spacing w:val="-1"/>
          <w:sz w:val="22"/>
          <w:szCs w:val="17"/>
        </w:rPr>
        <w:t>Cabe señalar que existe un alto grado de incertidumbre alrededor de estas perspectivas, toda vez que se considera que la economía mexicana continuará enfrentando un entorno complejo a lo largo del horizonte de pronóstico. En particular, si bien el acuerdo en principio alcanzado con Estados Unidos y Canadá en torno a la relación comercial en la región ha reducido en gran medida uno de los factores de riesgo para la economía mexicana, existen obstáculos para su ratificación, en un entorno en el que persiste la posibilidad de que se presente un escalamiento en las tensiones comerciales a nivel mundial y, si bien en menor medida, también podría</w:t>
      </w:r>
      <w:r>
        <w:rPr>
          <w:rFonts w:ascii="Arial" w:eastAsia="Calibri" w:hAnsi="Arial" w:cs="Arial"/>
          <w:spacing w:val="-1"/>
          <w:sz w:val="22"/>
          <w:szCs w:val="17"/>
        </w:rPr>
        <w:t xml:space="preserve"> </w:t>
      </w:r>
      <w:r w:rsidRPr="004C2A7A">
        <w:rPr>
          <w:rFonts w:ascii="Arial" w:eastAsia="Calibri" w:hAnsi="Arial" w:cs="Arial"/>
          <w:spacing w:val="-1"/>
          <w:sz w:val="22"/>
          <w:szCs w:val="17"/>
        </w:rPr>
        <w:t xml:space="preserve">seguir presente el riesgo de que se observen condiciones financieras globales más astringentes. Además, prevalecen </w:t>
      </w:r>
      <w:r w:rsidRPr="004C2A7A">
        <w:rPr>
          <w:rFonts w:ascii="Arial" w:eastAsia="Calibri" w:hAnsi="Arial" w:cs="Arial"/>
          <w:spacing w:val="-1"/>
          <w:sz w:val="22"/>
          <w:szCs w:val="17"/>
        </w:rPr>
        <w:lastRenderedPageBreak/>
        <w:t>elementos de incertidumbre interna respecto de diversos aspectos de la política económica que la nueva administración habrá de implementar y los efectos de estos sobre la actividad económica y la capacidad del país para generar un ambiente de confianza y certidumbre que sea propicio para la inversión.</w:t>
      </w:r>
    </w:p>
    <w:p w:rsidR="004578DC" w:rsidRDefault="00A1552F" w:rsidP="00A1552F">
      <w:pPr>
        <w:pStyle w:val="Prrafodelista"/>
        <w:numPr>
          <w:ilvl w:val="0"/>
          <w:numId w:val="45"/>
        </w:numPr>
        <w:autoSpaceDE w:val="0"/>
        <w:autoSpaceDN w:val="0"/>
        <w:adjustRightInd w:val="0"/>
        <w:spacing w:line="480" w:lineRule="auto"/>
        <w:jc w:val="both"/>
        <w:rPr>
          <w:rFonts w:ascii="Arial" w:eastAsia="Calibri" w:hAnsi="Arial" w:cs="Arial"/>
          <w:spacing w:val="-1"/>
          <w:sz w:val="22"/>
          <w:szCs w:val="17"/>
        </w:rPr>
      </w:pPr>
      <w:r>
        <w:rPr>
          <w:rFonts w:ascii="Arial" w:eastAsia="Calibri" w:hAnsi="Arial" w:cs="Arial"/>
          <w:spacing w:val="-1"/>
          <w:sz w:val="22"/>
          <w:szCs w:val="17"/>
        </w:rPr>
        <w:t xml:space="preserve">De acuerdo al </w:t>
      </w:r>
      <w:r w:rsidRPr="00A1552F">
        <w:rPr>
          <w:rFonts w:ascii="Arial" w:eastAsia="Calibri" w:hAnsi="Arial" w:cs="Arial"/>
          <w:spacing w:val="-1"/>
          <w:sz w:val="22"/>
          <w:szCs w:val="17"/>
        </w:rPr>
        <w:t>Sistema de Información Energética</w:t>
      </w:r>
      <w:r>
        <w:rPr>
          <w:rFonts w:ascii="Arial" w:eastAsia="Calibri" w:hAnsi="Arial" w:cs="Arial"/>
          <w:spacing w:val="-1"/>
          <w:sz w:val="22"/>
          <w:szCs w:val="17"/>
        </w:rPr>
        <w:t xml:space="preserve"> a cargo </w:t>
      </w:r>
      <w:r w:rsidRPr="00A1552F">
        <w:rPr>
          <w:rFonts w:ascii="Arial" w:eastAsia="Calibri" w:hAnsi="Arial" w:cs="Arial"/>
          <w:spacing w:val="-1"/>
          <w:sz w:val="22"/>
          <w:szCs w:val="17"/>
        </w:rPr>
        <w:t>Dirección General de Planeación e Información Energéticas</w:t>
      </w:r>
      <w:r>
        <w:rPr>
          <w:rFonts w:ascii="Arial" w:eastAsia="Calibri" w:hAnsi="Arial" w:cs="Arial"/>
          <w:spacing w:val="-1"/>
          <w:sz w:val="22"/>
          <w:szCs w:val="17"/>
        </w:rPr>
        <w:t xml:space="preserve"> de la </w:t>
      </w:r>
      <w:r w:rsidRPr="00A1552F">
        <w:rPr>
          <w:rFonts w:ascii="Arial" w:eastAsia="Calibri" w:hAnsi="Arial" w:cs="Arial"/>
          <w:spacing w:val="-1"/>
          <w:sz w:val="22"/>
          <w:szCs w:val="17"/>
        </w:rPr>
        <w:t>Secretaría de Energía</w:t>
      </w:r>
      <w:r>
        <w:rPr>
          <w:rFonts w:ascii="Arial" w:eastAsia="Calibri" w:hAnsi="Arial" w:cs="Arial"/>
          <w:spacing w:val="-1"/>
          <w:sz w:val="22"/>
          <w:szCs w:val="17"/>
        </w:rPr>
        <w:t>, el precio promedio anual de la mezcla mexicana en diciembre de 2018 quedó en $50.48709</w:t>
      </w:r>
      <w:r w:rsidR="00AA10DE" w:rsidRPr="00727488">
        <w:rPr>
          <w:rFonts w:ascii="Arial" w:eastAsia="Calibri" w:hAnsi="Arial" w:cs="Arial"/>
          <w:spacing w:val="-1"/>
          <w:sz w:val="22"/>
          <w:szCs w:val="17"/>
        </w:rPr>
        <w:t xml:space="preserve"> dólares por barril</w:t>
      </w:r>
      <w:r w:rsidR="0014731B" w:rsidRPr="00727488">
        <w:rPr>
          <w:rFonts w:ascii="Arial" w:eastAsia="Calibri" w:hAnsi="Arial" w:cs="Arial"/>
          <w:spacing w:val="-1"/>
          <w:sz w:val="22"/>
          <w:szCs w:val="17"/>
        </w:rPr>
        <w:t xml:space="preserve">, </w:t>
      </w:r>
      <w:r>
        <w:rPr>
          <w:rFonts w:ascii="Arial" w:eastAsia="Calibri" w:hAnsi="Arial" w:cs="Arial"/>
          <w:spacing w:val="-1"/>
          <w:sz w:val="22"/>
          <w:szCs w:val="17"/>
        </w:rPr>
        <w:t>$</w:t>
      </w:r>
      <w:r w:rsidRPr="00A1552F">
        <w:t xml:space="preserve"> </w:t>
      </w:r>
      <w:r w:rsidR="004A5DC2">
        <w:rPr>
          <w:rFonts w:ascii="Arial" w:eastAsia="Calibri" w:hAnsi="Arial" w:cs="Arial"/>
          <w:spacing w:val="-1"/>
          <w:sz w:val="22"/>
          <w:szCs w:val="17"/>
        </w:rPr>
        <w:t>1.98</w:t>
      </w:r>
      <w:r w:rsidR="00991198" w:rsidRPr="00727488">
        <w:rPr>
          <w:rFonts w:ascii="Arial" w:eastAsia="Calibri" w:hAnsi="Arial" w:cs="Arial"/>
          <w:spacing w:val="-1"/>
          <w:sz w:val="22"/>
          <w:szCs w:val="17"/>
        </w:rPr>
        <w:t xml:space="preserve"> dólares por </w:t>
      </w:r>
      <w:r w:rsidR="0014731B" w:rsidRPr="00727488">
        <w:rPr>
          <w:rFonts w:ascii="Arial" w:eastAsia="Calibri" w:hAnsi="Arial" w:cs="Arial"/>
          <w:spacing w:val="-1"/>
          <w:sz w:val="22"/>
          <w:szCs w:val="17"/>
        </w:rPr>
        <w:t>arriba</w:t>
      </w:r>
      <w:r w:rsidR="00991198" w:rsidRPr="00727488">
        <w:rPr>
          <w:rFonts w:ascii="Arial" w:eastAsia="Calibri" w:hAnsi="Arial" w:cs="Arial"/>
          <w:spacing w:val="-1"/>
          <w:sz w:val="22"/>
          <w:szCs w:val="17"/>
        </w:rPr>
        <w:t xml:space="preserve"> de</w:t>
      </w:r>
      <w:r w:rsidR="00B91BB9" w:rsidRPr="00727488">
        <w:rPr>
          <w:rFonts w:ascii="Arial" w:eastAsia="Calibri" w:hAnsi="Arial" w:cs="Arial"/>
          <w:spacing w:val="-1"/>
          <w:sz w:val="22"/>
          <w:szCs w:val="17"/>
        </w:rPr>
        <w:t xml:space="preserve"> </w:t>
      </w:r>
      <w:r w:rsidR="00991198" w:rsidRPr="00727488">
        <w:rPr>
          <w:rFonts w:ascii="Arial" w:eastAsia="Calibri" w:hAnsi="Arial" w:cs="Arial"/>
          <w:spacing w:val="-1"/>
          <w:sz w:val="22"/>
          <w:szCs w:val="17"/>
        </w:rPr>
        <w:t>l</w:t>
      </w:r>
      <w:r w:rsidR="00B91BB9" w:rsidRPr="00727488">
        <w:rPr>
          <w:rFonts w:ascii="Arial" w:eastAsia="Calibri" w:hAnsi="Arial" w:cs="Arial"/>
          <w:spacing w:val="-1"/>
          <w:sz w:val="22"/>
          <w:szCs w:val="17"/>
        </w:rPr>
        <w:t>o</w:t>
      </w:r>
      <w:r w:rsidR="00991198" w:rsidRPr="00727488">
        <w:rPr>
          <w:rFonts w:ascii="Arial" w:eastAsia="Calibri" w:hAnsi="Arial" w:cs="Arial"/>
          <w:spacing w:val="-1"/>
          <w:sz w:val="22"/>
          <w:szCs w:val="17"/>
        </w:rPr>
        <w:t xml:space="preserve"> estimado</w:t>
      </w:r>
      <w:r w:rsidR="00B91BB9" w:rsidRPr="00727488">
        <w:rPr>
          <w:rFonts w:ascii="Arial" w:eastAsia="Calibri" w:hAnsi="Arial" w:cs="Arial"/>
          <w:spacing w:val="-1"/>
          <w:sz w:val="22"/>
          <w:szCs w:val="17"/>
        </w:rPr>
        <w:t>.</w:t>
      </w:r>
    </w:p>
    <w:p w:rsidR="00E02539" w:rsidRPr="00975377" w:rsidRDefault="00E02539" w:rsidP="00975377">
      <w:pPr>
        <w:autoSpaceDE w:val="0"/>
        <w:autoSpaceDN w:val="0"/>
        <w:adjustRightInd w:val="0"/>
        <w:spacing w:line="480" w:lineRule="auto"/>
        <w:jc w:val="both"/>
        <w:rPr>
          <w:rFonts w:ascii="Arial" w:eastAsia="Calibri" w:hAnsi="Arial" w:cs="Arial"/>
          <w:spacing w:val="-1"/>
          <w:sz w:val="22"/>
          <w:szCs w:val="17"/>
        </w:rPr>
      </w:pPr>
    </w:p>
    <w:p w:rsidR="00AA10DE" w:rsidRDefault="00AF6AC2" w:rsidP="00C45BFE">
      <w:pPr>
        <w:autoSpaceDE w:val="0"/>
        <w:autoSpaceDN w:val="0"/>
        <w:adjustRightInd w:val="0"/>
        <w:spacing w:line="480" w:lineRule="auto"/>
        <w:jc w:val="both"/>
        <w:rPr>
          <w:rFonts w:ascii="Arial" w:eastAsia="Calibri" w:hAnsi="Arial" w:cs="Arial"/>
          <w:spacing w:val="-1"/>
          <w:sz w:val="22"/>
          <w:szCs w:val="17"/>
        </w:rPr>
      </w:pPr>
      <w:r>
        <w:rPr>
          <w:rFonts w:ascii="Arial" w:eastAsia="Calibri" w:hAnsi="Arial" w:cs="Arial"/>
          <w:spacing w:val="-1"/>
          <w:sz w:val="22"/>
          <w:szCs w:val="17"/>
        </w:rPr>
        <w:t xml:space="preserve">De acuerdo al </w:t>
      </w:r>
      <w:r w:rsidRPr="00AF6AC2">
        <w:rPr>
          <w:rFonts w:ascii="Arial" w:eastAsia="Calibri" w:hAnsi="Arial" w:cs="Arial"/>
          <w:spacing w:val="-1"/>
          <w:sz w:val="22"/>
          <w:szCs w:val="17"/>
        </w:rPr>
        <w:t>I</w:t>
      </w:r>
      <w:r>
        <w:rPr>
          <w:rFonts w:ascii="Arial" w:eastAsia="Calibri" w:hAnsi="Arial" w:cs="Arial"/>
          <w:spacing w:val="-1"/>
          <w:sz w:val="22"/>
          <w:szCs w:val="17"/>
        </w:rPr>
        <w:t>ndicador Trimestral de l</w:t>
      </w:r>
      <w:r w:rsidRPr="00AF6AC2">
        <w:rPr>
          <w:rFonts w:ascii="Arial" w:eastAsia="Calibri" w:hAnsi="Arial" w:cs="Arial"/>
          <w:spacing w:val="-1"/>
          <w:sz w:val="22"/>
          <w:szCs w:val="17"/>
        </w:rPr>
        <w:t xml:space="preserve">a Actividad Económica Estatal </w:t>
      </w:r>
      <w:r>
        <w:rPr>
          <w:rFonts w:ascii="Arial" w:eastAsia="Calibri" w:hAnsi="Arial" w:cs="Arial"/>
          <w:spacing w:val="-1"/>
          <w:sz w:val="22"/>
          <w:szCs w:val="17"/>
        </w:rPr>
        <w:t>(ITAEE) durante el t</w:t>
      </w:r>
      <w:r w:rsidRPr="00AF6AC2">
        <w:rPr>
          <w:rFonts w:ascii="Arial" w:eastAsia="Calibri" w:hAnsi="Arial" w:cs="Arial"/>
          <w:spacing w:val="-1"/>
          <w:sz w:val="22"/>
          <w:szCs w:val="17"/>
        </w:rPr>
        <w:t xml:space="preserve">ercer </w:t>
      </w:r>
      <w:r>
        <w:rPr>
          <w:rFonts w:ascii="Arial" w:eastAsia="Calibri" w:hAnsi="Arial" w:cs="Arial"/>
          <w:spacing w:val="-1"/>
          <w:sz w:val="22"/>
          <w:szCs w:val="17"/>
        </w:rPr>
        <w:t>trimestre d</w:t>
      </w:r>
      <w:r w:rsidRPr="00AF6AC2">
        <w:rPr>
          <w:rFonts w:ascii="Arial" w:eastAsia="Calibri" w:hAnsi="Arial" w:cs="Arial"/>
          <w:spacing w:val="-1"/>
          <w:sz w:val="22"/>
          <w:szCs w:val="17"/>
        </w:rPr>
        <w:t>e 2018</w:t>
      </w:r>
      <w:r>
        <w:rPr>
          <w:rFonts w:ascii="Arial" w:eastAsia="Calibri" w:hAnsi="Arial" w:cs="Arial"/>
          <w:spacing w:val="-1"/>
          <w:sz w:val="22"/>
          <w:szCs w:val="17"/>
        </w:rPr>
        <w:t xml:space="preserve"> publicado por parte del INEGI en el mes de enero de 2019, los principales resultados e</w:t>
      </w:r>
      <w:r w:rsidRPr="00AF6AC2">
        <w:rPr>
          <w:rFonts w:ascii="Arial" w:eastAsia="Calibri" w:hAnsi="Arial" w:cs="Arial"/>
          <w:spacing w:val="-1"/>
          <w:sz w:val="22"/>
          <w:szCs w:val="17"/>
        </w:rPr>
        <w:t>n el trimestre julio-septiembre de 2018, las entidades federativas que reportaron el crecimiento más significativo, con series desestacionalizadas, en su actividad económica con relación a la del trimestre anterior fueron: Aguascalientes, Nayarit, Chiapas, Durango, la Ciudad de México, Morelos, Hidalgo, Veracruz de Ignacio de la Llave, Querétaro, Nuevo León, San Luis</w:t>
      </w:r>
      <w:r w:rsidR="00E81757">
        <w:rPr>
          <w:rFonts w:ascii="Arial" w:eastAsia="Calibri" w:hAnsi="Arial" w:cs="Arial"/>
          <w:spacing w:val="-1"/>
          <w:sz w:val="22"/>
          <w:szCs w:val="17"/>
        </w:rPr>
        <w:t xml:space="preserve"> Potosí, Quintana Roo y Yucatán; en particular para </w:t>
      </w:r>
      <w:r w:rsidR="00AA10DE" w:rsidRPr="00357BAC">
        <w:rPr>
          <w:rFonts w:ascii="Arial" w:eastAsia="Calibri" w:hAnsi="Arial" w:cs="Arial"/>
          <w:spacing w:val="-1"/>
          <w:sz w:val="22"/>
          <w:szCs w:val="17"/>
        </w:rPr>
        <w:t xml:space="preserve">el Estado de Querétaro, </w:t>
      </w:r>
      <w:r w:rsidR="00C4171C">
        <w:rPr>
          <w:rFonts w:ascii="Arial" w:eastAsia="Calibri" w:hAnsi="Arial" w:cs="Arial"/>
          <w:spacing w:val="-1"/>
          <w:sz w:val="22"/>
          <w:szCs w:val="17"/>
        </w:rPr>
        <w:t>e</w:t>
      </w:r>
      <w:r w:rsidR="00C4171C" w:rsidRPr="00C4171C">
        <w:rPr>
          <w:rFonts w:ascii="Arial" w:eastAsia="Calibri" w:hAnsi="Arial" w:cs="Arial"/>
          <w:spacing w:val="-1"/>
          <w:sz w:val="22"/>
          <w:szCs w:val="17"/>
        </w:rPr>
        <w:t xml:space="preserve">n cuanto a las variaciones anuales ajustadas por estacionalidad, </w:t>
      </w:r>
      <w:r w:rsidR="00AA10DE" w:rsidRPr="00357BAC">
        <w:rPr>
          <w:rFonts w:ascii="Arial" w:eastAsia="Calibri" w:hAnsi="Arial" w:cs="Arial"/>
          <w:spacing w:val="-1"/>
          <w:sz w:val="22"/>
          <w:szCs w:val="17"/>
        </w:rPr>
        <w:t xml:space="preserve">reportó un avance superior a la media nacional en su actividad económica, con una variación </w:t>
      </w:r>
      <w:r w:rsidR="00E81757">
        <w:rPr>
          <w:rFonts w:ascii="Arial" w:eastAsia="Calibri" w:hAnsi="Arial" w:cs="Arial"/>
          <w:spacing w:val="-1"/>
          <w:sz w:val="22"/>
          <w:szCs w:val="17"/>
        </w:rPr>
        <w:t>porcentual real de 3</w:t>
      </w:r>
      <w:r w:rsidR="00AA10DE" w:rsidRPr="00357BAC">
        <w:rPr>
          <w:rFonts w:ascii="Arial" w:eastAsia="Calibri" w:hAnsi="Arial" w:cs="Arial"/>
          <w:spacing w:val="-1"/>
          <w:sz w:val="22"/>
          <w:szCs w:val="17"/>
        </w:rPr>
        <w:t xml:space="preserve">% respecto al mismo trimestre del año anterior, </w:t>
      </w:r>
      <w:r w:rsidR="00C45BFE">
        <w:rPr>
          <w:rFonts w:ascii="Arial" w:eastAsia="Calibri" w:hAnsi="Arial" w:cs="Arial"/>
          <w:spacing w:val="-1"/>
          <w:sz w:val="22"/>
          <w:szCs w:val="17"/>
        </w:rPr>
        <w:t>d</w:t>
      </w:r>
      <w:r w:rsidR="00AA10DE" w:rsidRPr="00357BAC">
        <w:rPr>
          <w:rFonts w:ascii="Arial" w:eastAsia="Calibri" w:hAnsi="Arial" w:cs="Arial"/>
          <w:spacing w:val="-1"/>
          <w:sz w:val="22"/>
          <w:szCs w:val="17"/>
        </w:rPr>
        <w:t>estacando la contribución del Estado de Querétaro al crecimie</w:t>
      </w:r>
      <w:r w:rsidR="00357BAC" w:rsidRPr="00357BAC">
        <w:rPr>
          <w:rFonts w:ascii="Arial" w:eastAsia="Calibri" w:hAnsi="Arial" w:cs="Arial"/>
          <w:spacing w:val="-1"/>
          <w:sz w:val="22"/>
          <w:szCs w:val="17"/>
        </w:rPr>
        <w:t>nto total real del ITAEE de 0.07</w:t>
      </w:r>
      <w:r w:rsidR="00AA10DE" w:rsidRPr="00357BAC">
        <w:rPr>
          <w:rFonts w:ascii="Arial" w:eastAsia="Calibri" w:hAnsi="Arial" w:cs="Arial"/>
          <w:spacing w:val="-1"/>
          <w:sz w:val="22"/>
          <w:szCs w:val="17"/>
        </w:rPr>
        <w:t>%.</w:t>
      </w:r>
    </w:p>
    <w:p w:rsidR="00C45BFE" w:rsidRDefault="00C45BFE" w:rsidP="00C45BFE">
      <w:pPr>
        <w:autoSpaceDE w:val="0"/>
        <w:autoSpaceDN w:val="0"/>
        <w:adjustRightInd w:val="0"/>
        <w:spacing w:line="480" w:lineRule="auto"/>
        <w:jc w:val="both"/>
        <w:rPr>
          <w:rFonts w:ascii="Arial" w:eastAsia="Calibri" w:hAnsi="Arial" w:cs="Arial"/>
          <w:spacing w:val="-1"/>
          <w:sz w:val="22"/>
          <w:szCs w:val="17"/>
        </w:rPr>
      </w:pPr>
    </w:p>
    <w:p w:rsidR="00E81757" w:rsidRPr="00357BAC" w:rsidRDefault="00E81757" w:rsidP="004C66A7">
      <w:pPr>
        <w:autoSpaceDE w:val="0"/>
        <w:autoSpaceDN w:val="0"/>
        <w:adjustRightInd w:val="0"/>
        <w:spacing w:before="240" w:after="120" w:line="480" w:lineRule="auto"/>
        <w:jc w:val="both"/>
        <w:rPr>
          <w:rFonts w:ascii="Arial" w:eastAsia="Calibri" w:hAnsi="Arial" w:cs="Arial"/>
          <w:spacing w:val="-1"/>
          <w:sz w:val="22"/>
          <w:szCs w:val="17"/>
        </w:rPr>
      </w:pPr>
    </w:p>
    <w:p w:rsidR="004C66A7" w:rsidRDefault="004C66A7" w:rsidP="002533F7">
      <w:pPr>
        <w:rPr>
          <w:rFonts w:ascii="Arial" w:hAnsi="Arial" w:cs="Arial"/>
          <w:b/>
          <w:sz w:val="22"/>
          <w:szCs w:val="17"/>
        </w:rPr>
      </w:pPr>
    </w:p>
    <w:p w:rsidR="00E81757" w:rsidRDefault="00E81757" w:rsidP="00E81757">
      <w:pPr>
        <w:pStyle w:val="p02"/>
        <w:keepLines w:val="0"/>
        <w:widowControl w:val="0"/>
        <w:jc w:val="center"/>
        <w:rPr>
          <w:rFonts w:ascii="Arial" w:hAnsi="Arial" w:cs="Arial"/>
          <w:b/>
          <w:smallCaps/>
          <w:color w:val="auto"/>
          <w:sz w:val="22"/>
        </w:rPr>
      </w:pPr>
      <w:r w:rsidRPr="00156EF2">
        <w:rPr>
          <w:rFonts w:ascii="Arial" w:hAnsi="Arial" w:cs="Arial"/>
          <w:b/>
          <w:smallCaps/>
          <w:color w:val="auto"/>
          <w:sz w:val="22"/>
        </w:rPr>
        <w:lastRenderedPageBreak/>
        <w:t xml:space="preserve">Indicador </w:t>
      </w:r>
      <w:r>
        <w:rPr>
          <w:rFonts w:ascii="Arial" w:hAnsi="Arial" w:cs="Arial"/>
          <w:b/>
          <w:smallCaps/>
          <w:color w:val="auto"/>
          <w:sz w:val="22"/>
        </w:rPr>
        <w:t>Trimestral de la Actividad</w:t>
      </w:r>
      <w:r w:rsidRPr="009128DE">
        <w:rPr>
          <w:rFonts w:ascii="Arial" w:hAnsi="Arial" w:cs="Arial"/>
          <w:b/>
          <w:smallCaps/>
          <w:color w:val="auto"/>
          <w:sz w:val="22"/>
        </w:rPr>
        <w:t xml:space="preserve"> Económica Estatal (ITAEE)</w:t>
      </w:r>
      <w:r>
        <w:rPr>
          <w:rFonts w:ascii="Arial" w:hAnsi="Arial" w:cs="Arial"/>
          <w:b/>
          <w:smallCaps/>
          <w:color w:val="auto"/>
          <w:sz w:val="22"/>
        </w:rPr>
        <w:t xml:space="preserve"> </w:t>
      </w:r>
    </w:p>
    <w:p w:rsidR="00E81757" w:rsidRDefault="00E81757" w:rsidP="00E81757">
      <w:pPr>
        <w:pStyle w:val="p02"/>
        <w:keepLines w:val="0"/>
        <w:widowControl w:val="0"/>
        <w:spacing w:before="0"/>
        <w:jc w:val="center"/>
        <w:rPr>
          <w:rFonts w:ascii="Arial" w:hAnsi="Arial" w:cs="Arial"/>
          <w:b/>
          <w:smallCaps/>
          <w:color w:val="auto"/>
          <w:sz w:val="22"/>
          <w:szCs w:val="22"/>
        </w:rPr>
      </w:pPr>
      <w:r>
        <w:rPr>
          <w:rFonts w:ascii="Arial" w:hAnsi="Arial" w:cs="Arial"/>
          <w:b/>
          <w:smallCaps/>
          <w:color w:val="auto"/>
          <w:sz w:val="22"/>
        </w:rPr>
        <w:t xml:space="preserve">durante el tercer trimestre </w:t>
      </w:r>
      <w:r w:rsidRPr="006F056B">
        <w:rPr>
          <w:rFonts w:ascii="Arial" w:hAnsi="Arial" w:cs="Arial"/>
          <w:b/>
          <w:smallCaps/>
          <w:color w:val="auto"/>
          <w:sz w:val="22"/>
          <w:szCs w:val="22"/>
        </w:rPr>
        <w:t xml:space="preserve">de </w:t>
      </w:r>
      <w:r>
        <w:rPr>
          <w:rFonts w:ascii="Arial" w:hAnsi="Arial" w:cs="Arial"/>
          <w:b/>
          <w:smallCaps/>
          <w:color w:val="auto"/>
          <w:sz w:val="22"/>
          <w:szCs w:val="22"/>
        </w:rPr>
        <w:t>2018</w:t>
      </w:r>
    </w:p>
    <w:p w:rsidR="00E81757" w:rsidRPr="00E81757" w:rsidRDefault="00E81757" w:rsidP="00E81757">
      <w:pPr>
        <w:pStyle w:val="p0"/>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4412"/>
        <w:gridCol w:w="11"/>
      </w:tblGrid>
      <w:tr w:rsidR="00E81757" w:rsidTr="00E81757">
        <w:trPr>
          <w:gridAfter w:val="1"/>
          <w:wAfter w:w="11" w:type="dxa"/>
          <w:jc w:val="center"/>
        </w:trPr>
        <w:tc>
          <w:tcPr>
            <w:tcW w:w="4310" w:type="dxa"/>
            <w:shd w:val="clear" w:color="auto" w:fill="BDD6EE" w:themeFill="accent1" w:themeFillTint="66"/>
          </w:tcPr>
          <w:p w:rsidR="00E81757" w:rsidRPr="000A578B" w:rsidRDefault="00E81757" w:rsidP="00E81757">
            <w:pPr>
              <w:pStyle w:val="p02"/>
              <w:keepLines w:val="0"/>
              <w:widowControl w:val="0"/>
              <w:spacing w:before="120"/>
              <w:ind w:left="38"/>
              <w:jc w:val="center"/>
              <w:rPr>
                <w:rFonts w:ascii="Arial" w:hAnsi="Arial" w:cs="Arial"/>
                <w:color w:val="auto"/>
                <w:sz w:val="18"/>
              </w:rPr>
            </w:pPr>
            <w:r w:rsidRPr="00156EF2">
              <w:rPr>
                <w:rFonts w:ascii="Arial" w:hAnsi="Arial" w:cs="Arial"/>
                <w:color w:val="auto"/>
                <w:sz w:val="18"/>
              </w:rPr>
              <w:t xml:space="preserve">Variación % real respecto al mismo </w:t>
            </w:r>
            <w:r>
              <w:rPr>
                <w:rFonts w:ascii="Arial" w:hAnsi="Arial" w:cs="Arial"/>
                <w:color w:val="auto"/>
                <w:sz w:val="18"/>
              </w:rPr>
              <w:t>trimestre</w:t>
            </w:r>
            <w:r w:rsidRPr="00156EF2">
              <w:rPr>
                <w:rFonts w:ascii="Arial" w:hAnsi="Arial" w:cs="Arial"/>
                <w:color w:val="auto"/>
                <w:sz w:val="18"/>
              </w:rPr>
              <w:t xml:space="preserve"> del año anterior</w:t>
            </w:r>
          </w:p>
        </w:tc>
        <w:tc>
          <w:tcPr>
            <w:tcW w:w="4412" w:type="dxa"/>
            <w:shd w:val="clear" w:color="auto" w:fill="BDD6EE" w:themeFill="accent1" w:themeFillTint="66"/>
          </w:tcPr>
          <w:p w:rsidR="00E81757" w:rsidRDefault="00E81757" w:rsidP="00547219">
            <w:pPr>
              <w:pStyle w:val="p0"/>
              <w:spacing w:before="120"/>
              <w:jc w:val="center"/>
            </w:pPr>
            <w:r>
              <w:rPr>
                <w:rFonts w:cs="Arial"/>
                <w:sz w:val="18"/>
              </w:rPr>
              <w:t>Contribución a la variación</w:t>
            </w:r>
            <w:r w:rsidRPr="00156EF2">
              <w:rPr>
                <w:rFonts w:cs="Arial"/>
                <w:sz w:val="18"/>
              </w:rPr>
              <w:t xml:space="preserve"> </w:t>
            </w:r>
            <w:r>
              <w:rPr>
                <w:rFonts w:cs="Arial"/>
                <w:sz w:val="18"/>
              </w:rPr>
              <w:t xml:space="preserve">total </w:t>
            </w:r>
            <w:r w:rsidRPr="00156EF2">
              <w:rPr>
                <w:rFonts w:cs="Arial"/>
                <w:sz w:val="18"/>
              </w:rPr>
              <w:t xml:space="preserve">real </w:t>
            </w:r>
            <w:r>
              <w:rPr>
                <w:rFonts w:cs="Arial"/>
                <w:sz w:val="18"/>
              </w:rPr>
              <w:t>del ITAEE</w:t>
            </w:r>
            <w:r w:rsidRPr="00962D1C">
              <w:rPr>
                <w:rFonts w:cs="Arial"/>
                <w:sz w:val="18"/>
                <w:vertAlign w:val="superscript"/>
              </w:rPr>
              <w:t>1/</w:t>
            </w:r>
          </w:p>
        </w:tc>
      </w:tr>
      <w:tr w:rsidR="00E81757" w:rsidTr="00E81757">
        <w:tblPrEx>
          <w:tblCellMar>
            <w:left w:w="70" w:type="dxa"/>
            <w:right w:w="70" w:type="dxa"/>
          </w:tblCellMar>
        </w:tblPrEx>
        <w:trPr>
          <w:jc w:val="center"/>
        </w:trPr>
        <w:tc>
          <w:tcPr>
            <w:tcW w:w="4310" w:type="dxa"/>
          </w:tcPr>
          <w:p w:rsidR="00E81757" w:rsidRDefault="00E81757" w:rsidP="00547219">
            <w:pPr>
              <w:pStyle w:val="p0"/>
              <w:spacing w:before="0"/>
              <w:jc w:val="center"/>
            </w:pPr>
            <w:r>
              <w:rPr>
                <w:noProof/>
                <w:lang w:val="es-MX" w:eastAsia="es-MX"/>
              </w:rPr>
              <w:drawing>
                <wp:inline distT="0" distB="0" distL="0" distR="0" wp14:anchorId="59327591" wp14:editId="7FD51596">
                  <wp:extent cx="2520000" cy="4140000"/>
                  <wp:effectExtent l="57150" t="38100" r="71120" b="89535"/>
                  <wp:docPr id="1" name="Gráfico 1">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423" w:type="dxa"/>
            <w:gridSpan w:val="2"/>
          </w:tcPr>
          <w:p w:rsidR="00E81757" w:rsidRDefault="00E81757" w:rsidP="00547219">
            <w:pPr>
              <w:pStyle w:val="p0"/>
              <w:spacing w:before="0"/>
              <w:jc w:val="center"/>
            </w:pPr>
            <w:r>
              <w:rPr>
                <w:noProof/>
                <w:lang w:val="es-MX" w:eastAsia="es-MX"/>
              </w:rPr>
              <w:drawing>
                <wp:inline distT="0" distB="0" distL="0" distR="0" wp14:anchorId="2CAA1A7F" wp14:editId="14C74F7C">
                  <wp:extent cx="2520000" cy="4140000"/>
                  <wp:effectExtent l="57150" t="38100" r="71120" b="89535"/>
                  <wp:docPr id="25" name="Gráfico 25">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357BAC" w:rsidRDefault="00357BAC" w:rsidP="00357BAC">
      <w:pPr>
        <w:ind w:left="2836" w:firstLine="709"/>
        <w:rPr>
          <w:rFonts w:ascii="Arial" w:hAnsi="Arial" w:cs="Arial"/>
          <w:b/>
          <w:sz w:val="17"/>
          <w:szCs w:val="17"/>
        </w:rPr>
      </w:pPr>
    </w:p>
    <w:p w:rsidR="004C66A7" w:rsidRDefault="004C66A7">
      <w:pPr>
        <w:rPr>
          <w:rFonts w:ascii="Arial" w:hAnsi="Arial" w:cs="Arial"/>
          <w:b/>
          <w:sz w:val="17"/>
          <w:szCs w:val="17"/>
        </w:rPr>
      </w:pPr>
    </w:p>
    <w:sectPr w:rsidR="004C66A7" w:rsidSect="00584F3B">
      <w:headerReference w:type="even" r:id="rId14"/>
      <w:headerReference w:type="default" r:id="rId15"/>
      <w:footerReference w:type="even" r:id="rId16"/>
      <w:footerReference w:type="default" r:id="rId17"/>
      <w:type w:val="continuous"/>
      <w:pgSz w:w="15840" w:h="12240" w:orient="landscape" w:code="1"/>
      <w:pgMar w:top="1701" w:right="1418" w:bottom="1134" w:left="1134" w:header="851" w:footer="567"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070" w:rsidRDefault="007C5070">
      <w:r>
        <w:separator/>
      </w:r>
    </w:p>
  </w:endnote>
  <w:endnote w:type="continuationSeparator" w:id="0">
    <w:p w:rsidR="007C5070" w:rsidRDefault="007C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547" w:rsidRPr="00CF00D0" w:rsidRDefault="00AA7547"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14:anchorId="1223F082" wp14:editId="07CE5A23">
              <wp:simplePos x="0" y="0"/>
              <wp:positionH relativeFrom="margin">
                <wp:align>left</wp:align>
              </wp:positionH>
              <wp:positionV relativeFrom="bottomMargin">
                <wp:align>top</wp:align>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9B7562" id="Rectángulo 14" o:spid="_x0000_s1026" style="position:absolute;margin-left:0;margin-top:0;width:664.75pt;height:3.55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002F7F05">
      <w:rPr>
        <w:rFonts w:ascii="Avenir LT Std 45 Book" w:hAnsi="Avenir LT Std 45 Book" w:cs="Arial"/>
        <w:color w:val="808080"/>
        <w:szCs w:val="20"/>
      </w:rPr>
      <w:t>PANORAMA ECONÓMICO</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073B3F">
      <w:rPr>
        <w:rFonts w:ascii="Avenir LT Std 45 Book" w:hAnsi="Avenir LT Std 45 Book" w:cs="Arial"/>
        <w:noProof/>
        <w:color w:val="808080"/>
        <w:szCs w:val="20"/>
      </w:rPr>
      <w:t>4</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073B3F">
      <w:rPr>
        <w:rFonts w:ascii="Avenir LT Std 45 Book" w:hAnsi="Avenir LT Std 45 Book" w:cs="Arial"/>
        <w:noProof/>
        <w:color w:val="808080"/>
        <w:szCs w:val="20"/>
      </w:rPr>
      <w:t>4</w:t>
    </w:r>
    <w:r w:rsidRPr="00CF00D0">
      <w:rPr>
        <w:rFonts w:ascii="Avenir LT Std 45 Book" w:hAnsi="Avenir LT Std 45 Book" w:cs="Arial"/>
        <w:color w:val="808080"/>
        <w:szCs w:val="20"/>
      </w:rPr>
      <w:fldChar w:fldCharType="end"/>
    </w:r>
  </w:p>
  <w:p w:rsidR="00AA7547" w:rsidRPr="00813029" w:rsidRDefault="00AA7547"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547" w:rsidRPr="00954205" w:rsidRDefault="00AA7547" w:rsidP="00813029">
    <w:pPr>
      <w:pStyle w:val="Textoindependiente3"/>
      <w:tabs>
        <w:tab w:val="right" w:pos="13288"/>
      </w:tabs>
      <w:rPr>
        <w:rFonts w:asciiTheme="minorHAnsi" w:hAnsiTheme="minorHAnsi" w:cstheme="minorHAnsi"/>
        <w:color w:val="80808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070" w:rsidRDefault="007C5070">
      <w:r>
        <w:separator/>
      </w:r>
    </w:p>
  </w:footnote>
  <w:footnote w:type="continuationSeparator" w:id="0">
    <w:p w:rsidR="007C5070" w:rsidRDefault="007C5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547" w:rsidRPr="002809DB" w:rsidRDefault="00AA7547"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-332884</wp:posOffset>
          </wp:positionV>
          <wp:extent cx="1564005" cy="581660"/>
          <wp:effectExtent l="0" t="0" r="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52E85D3F" wp14:editId="374E2962">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547" w:rsidRPr="00CF00D0" w:rsidRDefault="00AA7547" w:rsidP="00997F4C">
                          <w:pPr>
                            <w:jc w:val="right"/>
                            <w:rPr>
                              <w:rFonts w:ascii="Avenir LT Std 45 Book" w:hAnsi="Avenir LT Std 45 Book" w:cs="Arial"/>
                              <w:b/>
                              <w:color w:val="808080"/>
                              <w:sz w:val="36"/>
                              <w:szCs w:val="20"/>
                            </w:rPr>
                          </w:pPr>
                          <w:r w:rsidRPr="00CF00D0">
                            <w:rPr>
                              <w:rFonts w:ascii="Avenir LT Std 45 Book" w:hAnsi="Avenir LT Std 45 Book" w:cs="Arial"/>
                              <w:b/>
                              <w:color w:val="808080"/>
                              <w:sz w:val="36"/>
                              <w:szCs w:val="20"/>
                            </w:rPr>
                            <w:t>201</w:t>
                          </w:r>
                          <w:r w:rsidR="00E81757">
                            <w:rPr>
                              <w:rFonts w:ascii="Avenir LT Std 45 Book" w:hAnsi="Avenir LT Std 45 Book" w:cs="Arial"/>
                              <w:b/>
                              <w:color w:val="808080"/>
                              <w:sz w:val="36"/>
                              <w:szCs w:val="2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85D3F" id="_x0000_t202" coordsize="21600,21600" o:spt="202" path="m,l,21600r21600,l21600,xe">
              <v:stroke joinstyle="miter"/>
              <v:path gradientshapeok="t" o:connecttype="rect"/>
            </v:shapetype>
            <v:shape id="Cuadro de texto 5" o:spid="_x0000_s1026"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AA7547" w:rsidRPr="00CF00D0" w:rsidRDefault="00AA7547" w:rsidP="00997F4C">
                    <w:pPr>
                      <w:jc w:val="right"/>
                      <w:rPr>
                        <w:rFonts w:ascii="Avenir LT Std 45 Book" w:hAnsi="Avenir LT Std 45 Book" w:cs="Arial"/>
                        <w:b/>
                        <w:color w:val="808080"/>
                        <w:sz w:val="36"/>
                        <w:szCs w:val="20"/>
                      </w:rPr>
                    </w:pPr>
                    <w:r w:rsidRPr="00CF00D0">
                      <w:rPr>
                        <w:rFonts w:ascii="Avenir LT Std 45 Book" w:hAnsi="Avenir LT Std 45 Book" w:cs="Arial"/>
                        <w:b/>
                        <w:color w:val="808080"/>
                        <w:sz w:val="36"/>
                        <w:szCs w:val="20"/>
                      </w:rPr>
                      <w:t>201</w:t>
                    </w:r>
                    <w:r w:rsidR="00E81757">
                      <w:rPr>
                        <w:rFonts w:ascii="Avenir LT Std 45 Book" w:hAnsi="Avenir LT Std 45 Book" w:cs="Arial"/>
                        <w:b/>
                        <w:color w:val="808080"/>
                        <w:sz w:val="36"/>
                        <w:szCs w:val="20"/>
                      </w:rPr>
                      <w:t>8</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8A2502B" wp14:editId="75EA596F">
              <wp:simplePos x="0" y="0"/>
              <wp:positionH relativeFrom="column">
                <wp:posOffset>6488523</wp:posOffset>
              </wp:positionH>
              <wp:positionV relativeFrom="paragraph">
                <wp:posOffset>-422579</wp:posOffset>
              </wp:positionV>
              <wp:extent cx="1940560" cy="398297"/>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547" w:rsidRPr="00CF00D0" w:rsidRDefault="00AA7547"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AA7547" w:rsidRPr="00CF00D0" w:rsidRDefault="00AA7547"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2502B" id="_x0000_s1027" type="#_x0000_t202" style="position:absolute;margin-left:510.9pt;margin-top:-33.25pt;width:152.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AA7547" w:rsidRPr="00CF00D0" w:rsidRDefault="00AA7547"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AA7547" w:rsidRPr="00CF00D0" w:rsidRDefault="00AA7547"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v:textbox>
            </v:shape>
          </w:pict>
        </mc:Fallback>
      </mc:AlternateContent>
    </w:r>
    <w:r>
      <w:rPr>
        <w:rFonts w:ascii="Arial" w:hAnsi="Arial" w:cs="Arial"/>
        <w:b/>
        <w:caps/>
        <w:noProof/>
        <w:color w:val="808080"/>
        <w:sz w:val="20"/>
        <w:szCs w:val="20"/>
      </w:rPr>
      <mc:AlternateContent>
        <mc:Choice Requires="wps">
          <w:drawing>
            <wp:anchor distT="0" distB="0" distL="114300" distR="114300" simplePos="0" relativeHeight="251665408" behindDoc="0" locked="0" layoutInCell="1" allowOverlap="1" wp14:anchorId="3A75F308" wp14:editId="59F94F8C">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FBCF11"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547" w:rsidRPr="00CF00D0" w:rsidRDefault="007B4672" w:rsidP="00823211">
    <w:pPr>
      <w:jc w:val="center"/>
      <w:rPr>
        <w:rFonts w:ascii="Avenir LT Std 45 Book" w:hAnsi="Avenir LT Std 45 Book"/>
        <w:b/>
        <w:color w:val="808080"/>
        <w:sz w:val="20"/>
        <w:szCs w:val="20"/>
      </w:rPr>
    </w:pPr>
    <w:r>
      <w:rPr>
        <w:rFonts w:ascii="Avenir LT Std 45 Book" w:hAnsi="Avenir LT Std 45 Book" w:cs="Arial"/>
        <w:b/>
        <w:caps/>
        <w:noProof/>
        <w:color w:val="808080"/>
        <w:sz w:val="20"/>
        <w:szCs w:val="20"/>
      </w:rPr>
      <w:t>ESTADO DE QUERÉTARO</w:t>
    </w:r>
    <w:r w:rsidR="00AA7547"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14:anchorId="4DD1E6F8" wp14:editId="0896A56B">
              <wp:simplePos x="0" y="0"/>
              <wp:positionH relativeFrom="margin">
                <wp:posOffset>-18863</wp:posOffset>
              </wp:positionH>
              <wp:positionV relativeFrom="paragraph">
                <wp:posOffset>205526</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7D2BC8" id="Rectángulo 5" o:spid="_x0000_s1026" style="position:absolute;margin-left:-1.5pt;margin-top:16.2pt;width:664.8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" fillcolor="#a5a5a5 [3206]" strokecolor="#525252 [1606]" strokeweight="1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08F1"/>
    <w:multiLevelType w:val="hybridMultilevel"/>
    <w:tmpl w:val="FEB86598"/>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DD7EEAFA">
      <w:start w:val="1"/>
      <w:numFmt w:val="bullet"/>
      <w:lvlText w:val="o"/>
      <w:lvlJc w:val="left"/>
      <w:pPr>
        <w:tabs>
          <w:tab w:val="num" w:pos="2747"/>
        </w:tabs>
        <w:ind w:left="2860" w:hanging="340"/>
      </w:pPr>
      <w:rPr>
        <w:rFonts w:ascii="Courier New" w:hAnsi="Courier New"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2">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3">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nsid w:val="09A2384C"/>
    <w:multiLevelType w:val="hybridMultilevel"/>
    <w:tmpl w:val="0CD0CF80"/>
    <w:lvl w:ilvl="0" w:tplc="0C0A0005">
      <w:start w:val="1"/>
      <w:numFmt w:val="bullet"/>
      <w:lvlText w:val=""/>
      <w:lvlJc w:val="left"/>
      <w:pPr>
        <w:tabs>
          <w:tab w:val="num" w:pos="3621"/>
        </w:tabs>
        <w:ind w:left="3621" w:hanging="360"/>
      </w:pPr>
      <w:rPr>
        <w:rFonts w:ascii="Wingdings" w:hAnsi="Wingdings" w:hint="default"/>
      </w:rPr>
    </w:lvl>
    <w:lvl w:ilvl="1" w:tplc="0C0A0003" w:tentative="1">
      <w:start w:val="1"/>
      <w:numFmt w:val="bullet"/>
      <w:lvlText w:val="o"/>
      <w:lvlJc w:val="left"/>
      <w:pPr>
        <w:tabs>
          <w:tab w:val="num" w:pos="2157"/>
        </w:tabs>
        <w:ind w:left="2157" w:hanging="360"/>
      </w:pPr>
      <w:rPr>
        <w:rFonts w:ascii="Courier New" w:hAnsi="Courier New" w:cs="Courier New" w:hint="default"/>
      </w:rPr>
    </w:lvl>
    <w:lvl w:ilvl="2" w:tplc="0C0A0005" w:tentative="1">
      <w:start w:val="1"/>
      <w:numFmt w:val="bullet"/>
      <w:lvlText w:val=""/>
      <w:lvlJc w:val="left"/>
      <w:pPr>
        <w:tabs>
          <w:tab w:val="num" w:pos="2877"/>
        </w:tabs>
        <w:ind w:left="2877" w:hanging="360"/>
      </w:pPr>
      <w:rPr>
        <w:rFonts w:ascii="Wingdings" w:hAnsi="Wingdings" w:hint="default"/>
      </w:rPr>
    </w:lvl>
    <w:lvl w:ilvl="3" w:tplc="0C0A0001" w:tentative="1">
      <w:start w:val="1"/>
      <w:numFmt w:val="bullet"/>
      <w:lvlText w:val=""/>
      <w:lvlJc w:val="left"/>
      <w:pPr>
        <w:tabs>
          <w:tab w:val="num" w:pos="3597"/>
        </w:tabs>
        <w:ind w:left="3597" w:hanging="360"/>
      </w:pPr>
      <w:rPr>
        <w:rFonts w:ascii="Symbol" w:hAnsi="Symbol" w:hint="default"/>
      </w:rPr>
    </w:lvl>
    <w:lvl w:ilvl="4" w:tplc="0C0A0003" w:tentative="1">
      <w:start w:val="1"/>
      <w:numFmt w:val="bullet"/>
      <w:lvlText w:val="o"/>
      <w:lvlJc w:val="left"/>
      <w:pPr>
        <w:tabs>
          <w:tab w:val="num" w:pos="4317"/>
        </w:tabs>
        <w:ind w:left="4317" w:hanging="360"/>
      </w:pPr>
      <w:rPr>
        <w:rFonts w:ascii="Courier New" w:hAnsi="Courier New" w:cs="Courier New" w:hint="default"/>
      </w:rPr>
    </w:lvl>
    <w:lvl w:ilvl="5" w:tplc="0C0A0005" w:tentative="1">
      <w:start w:val="1"/>
      <w:numFmt w:val="bullet"/>
      <w:lvlText w:val=""/>
      <w:lvlJc w:val="left"/>
      <w:pPr>
        <w:tabs>
          <w:tab w:val="num" w:pos="5037"/>
        </w:tabs>
        <w:ind w:left="5037" w:hanging="360"/>
      </w:pPr>
      <w:rPr>
        <w:rFonts w:ascii="Wingdings" w:hAnsi="Wingdings" w:hint="default"/>
      </w:rPr>
    </w:lvl>
    <w:lvl w:ilvl="6" w:tplc="0C0A0001" w:tentative="1">
      <w:start w:val="1"/>
      <w:numFmt w:val="bullet"/>
      <w:lvlText w:val=""/>
      <w:lvlJc w:val="left"/>
      <w:pPr>
        <w:tabs>
          <w:tab w:val="num" w:pos="5757"/>
        </w:tabs>
        <w:ind w:left="5757" w:hanging="360"/>
      </w:pPr>
      <w:rPr>
        <w:rFonts w:ascii="Symbol" w:hAnsi="Symbol" w:hint="default"/>
      </w:rPr>
    </w:lvl>
    <w:lvl w:ilvl="7" w:tplc="0C0A0003" w:tentative="1">
      <w:start w:val="1"/>
      <w:numFmt w:val="bullet"/>
      <w:lvlText w:val="o"/>
      <w:lvlJc w:val="left"/>
      <w:pPr>
        <w:tabs>
          <w:tab w:val="num" w:pos="6477"/>
        </w:tabs>
        <w:ind w:left="6477" w:hanging="360"/>
      </w:pPr>
      <w:rPr>
        <w:rFonts w:ascii="Courier New" w:hAnsi="Courier New" w:cs="Courier New" w:hint="default"/>
      </w:rPr>
    </w:lvl>
    <w:lvl w:ilvl="8" w:tplc="0C0A0005" w:tentative="1">
      <w:start w:val="1"/>
      <w:numFmt w:val="bullet"/>
      <w:lvlText w:val=""/>
      <w:lvlJc w:val="left"/>
      <w:pPr>
        <w:tabs>
          <w:tab w:val="num" w:pos="7197"/>
        </w:tabs>
        <w:ind w:left="7197" w:hanging="360"/>
      </w:pPr>
      <w:rPr>
        <w:rFonts w:ascii="Wingdings" w:hAnsi="Wingdings" w:hint="default"/>
      </w:rPr>
    </w:lvl>
  </w:abstractNum>
  <w:abstractNum w:abstractNumId="5">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AD6808"/>
    <w:multiLevelType w:val="hybridMultilevel"/>
    <w:tmpl w:val="F03A77D0"/>
    <w:lvl w:ilvl="0" w:tplc="86C47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1C68EE"/>
    <w:multiLevelType w:val="hybridMultilevel"/>
    <w:tmpl w:val="5C9E71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7BA5E7D"/>
    <w:multiLevelType w:val="hybridMultilevel"/>
    <w:tmpl w:val="5FB89B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7C17AE0"/>
    <w:multiLevelType w:val="hybridMultilevel"/>
    <w:tmpl w:val="113A1BF6"/>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1B6C4044"/>
    <w:multiLevelType w:val="hybridMultilevel"/>
    <w:tmpl w:val="A30C7412"/>
    <w:lvl w:ilvl="0" w:tplc="0C0A000B">
      <w:start w:val="1"/>
      <w:numFmt w:val="bullet"/>
      <w:lvlText w:val=""/>
      <w:lvlJc w:val="left"/>
      <w:pPr>
        <w:tabs>
          <w:tab w:val="num" w:pos="6597"/>
        </w:tabs>
        <w:ind w:left="6597" w:hanging="360"/>
      </w:pPr>
      <w:rPr>
        <w:rFonts w:ascii="Wingdings" w:hAnsi="Wingdings" w:hint="default"/>
      </w:rPr>
    </w:lvl>
    <w:lvl w:ilvl="1" w:tplc="85C68472">
      <w:start w:val="1"/>
      <w:numFmt w:val="bullet"/>
      <w:lvlText w:val=""/>
      <w:lvlJc w:val="left"/>
      <w:pPr>
        <w:tabs>
          <w:tab w:val="num" w:pos="7317"/>
        </w:tabs>
        <w:ind w:left="7317" w:hanging="360"/>
      </w:pPr>
      <w:rPr>
        <w:rFonts w:ascii="Symbol" w:hAnsi="Symbol" w:hint="default"/>
        <w:color w:val="auto"/>
      </w:rPr>
    </w:lvl>
    <w:lvl w:ilvl="2" w:tplc="0C0A0005">
      <w:start w:val="1"/>
      <w:numFmt w:val="bullet"/>
      <w:lvlText w:val=""/>
      <w:lvlJc w:val="left"/>
      <w:pPr>
        <w:tabs>
          <w:tab w:val="num" w:pos="8037"/>
        </w:tabs>
        <w:ind w:left="8037" w:hanging="360"/>
      </w:pPr>
      <w:rPr>
        <w:rFonts w:ascii="Wingdings" w:hAnsi="Wingdings" w:hint="default"/>
      </w:rPr>
    </w:lvl>
    <w:lvl w:ilvl="3" w:tplc="0C0A0001" w:tentative="1">
      <w:start w:val="1"/>
      <w:numFmt w:val="bullet"/>
      <w:lvlText w:val=""/>
      <w:lvlJc w:val="left"/>
      <w:pPr>
        <w:tabs>
          <w:tab w:val="num" w:pos="8757"/>
        </w:tabs>
        <w:ind w:left="8757" w:hanging="360"/>
      </w:pPr>
      <w:rPr>
        <w:rFonts w:ascii="Symbol" w:hAnsi="Symbol" w:hint="default"/>
      </w:rPr>
    </w:lvl>
    <w:lvl w:ilvl="4" w:tplc="0C0A0003" w:tentative="1">
      <w:start w:val="1"/>
      <w:numFmt w:val="bullet"/>
      <w:lvlText w:val="o"/>
      <w:lvlJc w:val="left"/>
      <w:pPr>
        <w:tabs>
          <w:tab w:val="num" w:pos="9477"/>
        </w:tabs>
        <w:ind w:left="9477" w:hanging="360"/>
      </w:pPr>
      <w:rPr>
        <w:rFonts w:ascii="Courier New" w:hAnsi="Courier New" w:cs="Courier New" w:hint="default"/>
      </w:rPr>
    </w:lvl>
    <w:lvl w:ilvl="5" w:tplc="0C0A0005" w:tentative="1">
      <w:start w:val="1"/>
      <w:numFmt w:val="bullet"/>
      <w:lvlText w:val=""/>
      <w:lvlJc w:val="left"/>
      <w:pPr>
        <w:tabs>
          <w:tab w:val="num" w:pos="10197"/>
        </w:tabs>
        <w:ind w:left="10197" w:hanging="360"/>
      </w:pPr>
      <w:rPr>
        <w:rFonts w:ascii="Wingdings" w:hAnsi="Wingdings" w:hint="default"/>
      </w:rPr>
    </w:lvl>
    <w:lvl w:ilvl="6" w:tplc="0C0A0001" w:tentative="1">
      <w:start w:val="1"/>
      <w:numFmt w:val="bullet"/>
      <w:lvlText w:val=""/>
      <w:lvlJc w:val="left"/>
      <w:pPr>
        <w:tabs>
          <w:tab w:val="num" w:pos="10917"/>
        </w:tabs>
        <w:ind w:left="10917" w:hanging="360"/>
      </w:pPr>
      <w:rPr>
        <w:rFonts w:ascii="Symbol" w:hAnsi="Symbol" w:hint="default"/>
      </w:rPr>
    </w:lvl>
    <w:lvl w:ilvl="7" w:tplc="0C0A0003" w:tentative="1">
      <w:start w:val="1"/>
      <w:numFmt w:val="bullet"/>
      <w:lvlText w:val="o"/>
      <w:lvlJc w:val="left"/>
      <w:pPr>
        <w:tabs>
          <w:tab w:val="num" w:pos="11637"/>
        </w:tabs>
        <w:ind w:left="11637" w:hanging="360"/>
      </w:pPr>
      <w:rPr>
        <w:rFonts w:ascii="Courier New" w:hAnsi="Courier New" w:cs="Courier New" w:hint="default"/>
      </w:rPr>
    </w:lvl>
    <w:lvl w:ilvl="8" w:tplc="0C0A0005" w:tentative="1">
      <w:start w:val="1"/>
      <w:numFmt w:val="bullet"/>
      <w:lvlText w:val=""/>
      <w:lvlJc w:val="left"/>
      <w:pPr>
        <w:tabs>
          <w:tab w:val="num" w:pos="12357"/>
        </w:tabs>
        <w:ind w:left="12357" w:hanging="360"/>
      </w:pPr>
      <w:rPr>
        <w:rFonts w:ascii="Wingdings" w:hAnsi="Wingdings" w:hint="default"/>
      </w:rPr>
    </w:lvl>
  </w:abstractNum>
  <w:abstractNum w:abstractNumId="11">
    <w:nsid w:val="1BDF680D"/>
    <w:multiLevelType w:val="hybridMultilevel"/>
    <w:tmpl w:val="06E84E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76D2AD5"/>
    <w:multiLevelType w:val="hybridMultilevel"/>
    <w:tmpl w:val="40D8039A"/>
    <w:lvl w:ilvl="0" w:tplc="DE702562">
      <w:start w:val="1"/>
      <w:numFmt w:val="bullet"/>
      <w:lvlText w:val=""/>
      <w:lvlJc w:val="left"/>
      <w:pPr>
        <w:tabs>
          <w:tab w:val="num" w:pos="420"/>
        </w:tabs>
        <w:ind w:left="420" w:hanging="360"/>
      </w:pPr>
      <w:rPr>
        <w:rFonts w:ascii="Symbol" w:hAnsi="Symbol" w:hint="default"/>
        <w:color w:val="auto"/>
      </w:rPr>
    </w:lvl>
    <w:lvl w:ilvl="1" w:tplc="79261488">
      <w:start w:val="1"/>
      <w:numFmt w:val="bullet"/>
      <w:lvlText w:val=""/>
      <w:lvlJc w:val="left"/>
      <w:pPr>
        <w:tabs>
          <w:tab w:val="num" w:pos="748"/>
        </w:tabs>
        <w:ind w:left="1817" w:hanging="737"/>
      </w:pPr>
      <w:rPr>
        <w:rFonts w:ascii="Symbol" w:hAnsi="Symbol" w:hint="default"/>
        <w:color w:val="auto"/>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88816E1"/>
    <w:multiLevelType w:val="hybridMultilevel"/>
    <w:tmpl w:val="BE4C20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3860C6"/>
    <w:multiLevelType w:val="hybridMultilevel"/>
    <w:tmpl w:val="99526164"/>
    <w:lvl w:ilvl="0" w:tplc="CBA2848E">
      <w:start w:val="1"/>
      <w:numFmt w:val="bullet"/>
      <w:lvlText w:val=""/>
      <w:lvlJc w:val="left"/>
      <w:pPr>
        <w:tabs>
          <w:tab w:val="num" w:pos="527"/>
        </w:tabs>
        <w:ind w:left="1267" w:hanging="737"/>
      </w:pPr>
      <w:rPr>
        <w:rFonts w:ascii="Symbol" w:hAnsi="Symbol" w:hint="default"/>
        <w:color w:val="auto"/>
        <w:sz w:val="16"/>
        <w:szCs w:val="16"/>
      </w:rPr>
    </w:lvl>
    <w:lvl w:ilvl="1" w:tplc="79261488">
      <w:start w:val="1"/>
      <w:numFmt w:val="bullet"/>
      <w:lvlText w:val=""/>
      <w:lvlJc w:val="left"/>
      <w:pPr>
        <w:tabs>
          <w:tab w:val="num" w:pos="1278"/>
        </w:tabs>
        <w:ind w:left="2347" w:hanging="737"/>
      </w:pPr>
      <w:rPr>
        <w:rFonts w:ascii="Symbol" w:hAnsi="Symbol" w:hint="default"/>
        <w:color w:val="auto"/>
        <w:sz w:val="18"/>
        <w:szCs w:val="18"/>
      </w:rPr>
    </w:lvl>
    <w:lvl w:ilvl="2" w:tplc="0C0A0005" w:tentative="1">
      <w:start w:val="1"/>
      <w:numFmt w:val="bullet"/>
      <w:lvlText w:val=""/>
      <w:lvlJc w:val="left"/>
      <w:pPr>
        <w:tabs>
          <w:tab w:val="num" w:pos="2690"/>
        </w:tabs>
        <w:ind w:left="2690" w:hanging="360"/>
      </w:pPr>
      <w:rPr>
        <w:rFonts w:ascii="Wingdings" w:hAnsi="Wingdings" w:hint="default"/>
      </w:rPr>
    </w:lvl>
    <w:lvl w:ilvl="3" w:tplc="0C0A0001" w:tentative="1">
      <w:start w:val="1"/>
      <w:numFmt w:val="bullet"/>
      <w:lvlText w:val=""/>
      <w:lvlJc w:val="left"/>
      <w:pPr>
        <w:tabs>
          <w:tab w:val="num" w:pos="3410"/>
        </w:tabs>
        <w:ind w:left="3410" w:hanging="360"/>
      </w:pPr>
      <w:rPr>
        <w:rFonts w:ascii="Symbol" w:hAnsi="Symbol" w:hint="default"/>
      </w:rPr>
    </w:lvl>
    <w:lvl w:ilvl="4" w:tplc="0C0A0003" w:tentative="1">
      <w:start w:val="1"/>
      <w:numFmt w:val="bullet"/>
      <w:lvlText w:val="o"/>
      <w:lvlJc w:val="left"/>
      <w:pPr>
        <w:tabs>
          <w:tab w:val="num" w:pos="4130"/>
        </w:tabs>
        <w:ind w:left="4130" w:hanging="360"/>
      </w:pPr>
      <w:rPr>
        <w:rFonts w:ascii="Courier New" w:hAnsi="Courier New" w:cs="Courier New" w:hint="default"/>
      </w:rPr>
    </w:lvl>
    <w:lvl w:ilvl="5" w:tplc="0C0A0005" w:tentative="1">
      <w:start w:val="1"/>
      <w:numFmt w:val="bullet"/>
      <w:lvlText w:val=""/>
      <w:lvlJc w:val="left"/>
      <w:pPr>
        <w:tabs>
          <w:tab w:val="num" w:pos="4850"/>
        </w:tabs>
        <w:ind w:left="4850" w:hanging="360"/>
      </w:pPr>
      <w:rPr>
        <w:rFonts w:ascii="Wingdings" w:hAnsi="Wingdings" w:hint="default"/>
      </w:rPr>
    </w:lvl>
    <w:lvl w:ilvl="6" w:tplc="0C0A0001" w:tentative="1">
      <w:start w:val="1"/>
      <w:numFmt w:val="bullet"/>
      <w:lvlText w:val=""/>
      <w:lvlJc w:val="left"/>
      <w:pPr>
        <w:tabs>
          <w:tab w:val="num" w:pos="5570"/>
        </w:tabs>
        <w:ind w:left="5570" w:hanging="360"/>
      </w:pPr>
      <w:rPr>
        <w:rFonts w:ascii="Symbol" w:hAnsi="Symbol" w:hint="default"/>
      </w:rPr>
    </w:lvl>
    <w:lvl w:ilvl="7" w:tplc="0C0A0003" w:tentative="1">
      <w:start w:val="1"/>
      <w:numFmt w:val="bullet"/>
      <w:lvlText w:val="o"/>
      <w:lvlJc w:val="left"/>
      <w:pPr>
        <w:tabs>
          <w:tab w:val="num" w:pos="6290"/>
        </w:tabs>
        <w:ind w:left="6290" w:hanging="360"/>
      </w:pPr>
      <w:rPr>
        <w:rFonts w:ascii="Courier New" w:hAnsi="Courier New" w:cs="Courier New" w:hint="default"/>
      </w:rPr>
    </w:lvl>
    <w:lvl w:ilvl="8" w:tplc="0C0A0005" w:tentative="1">
      <w:start w:val="1"/>
      <w:numFmt w:val="bullet"/>
      <w:lvlText w:val=""/>
      <w:lvlJc w:val="left"/>
      <w:pPr>
        <w:tabs>
          <w:tab w:val="num" w:pos="7010"/>
        </w:tabs>
        <w:ind w:left="7010" w:hanging="360"/>
      </w:pPr>
      <w:rPr>
        <w:rFonts w:ascii="Wingdings" w:hAnsi="Wingdings" w:hint="default"/>
      </w:rPr>
    </w:lvl>
  </w:abstractNum>
  <w:abstractNum w:abstractNumId="15">
    <w:nsid w:val="30403220"/>
    <w:multiLevelType w:val="hybridMultilevel"/>
    <w:tmpl w:val="57FA780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nsid w:val="328A1498"/>
    <w:multiLevelType w:val="hybridMultilevel"/>
    <w:tmpl w:val="5FE409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61E4DD6"/>
    <w:multiLevelType w:val="hybridMultilevel"/>
    <w:tmpl w:val="B83EC5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21">
    <w:nsid w:val="472343FB"/>
    <w:multiLevelType w:val="hybridMultilevel"/>
    <w:tmpl w:val="58587B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3">
    <w:nsid w:val="4C1D27E6"/>
    <w:multiLevelType w:val="hybridMultilevel"/>
    <w:tmpl w:val="F9281D2E"/>
    <w:lvl w:ilvl="0" w:tplc="A4BEB05A">
      <w:start w:val="1"/>
      <w:numFmt w:val="bullet"/>
      <w:lvlText w:val=""/>
      <w:lvlJc w:val="left"/>
      <w:pPr>
        <w:tabs>
          <w:tab w:val="num" w:pos="7862"/>
        </w:tabs>
        <w:ind w:left="7825" w:hanging="737"/>
      </w:pPr>
      <w:rPr>
        <w:rFonts w:ascii="Symbol" w:hAnsi="Symbol"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cs="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cs="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cs="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4">
    <w:nsid w:val="4C6E66E7"/>
    <w:multiLevelType w:val="hybridMultilevel"/>
    <w:tmpl w:val="7256DAE4"/>
    <w:lvl w:ilvl="0" w:tplc="A4BEB05A">
      <w:start w:val="1"/>
      <w:numFmt w:val="bullet"/>
      <w:lvlText w:val=""/>
      <w:lvlJc w:val="left"/>
      <w:pPr>
        <w:tabs>
          <w:tab w:val="num" w:pos="170"/>
        </w:tabs>
        <w:ind w:left="170" w:hanging="170"/>
      </w:pPr>
      <w:rPr>
        <w:rFonts w:ascii="Symbol" w:hAnsi="Symbol" w:hint="default"/>
        <w:color w:val="auto"/>
      </w:rPr>
    </w:lvl>
    <w:lvl w:ilvl="1" w:tplc="EEEEAB0E"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5CA76DF"/>
    <w:multiLevelType w:val="hybridMultilevel"/>
    <w:tmpl w:val="30D002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B6A4B04"/>
    <w:multiLevelType w:val="hybridMultilevel"/>
    <w:tmpl w:val="358454D8"/>
    <w:lvl w:ilvl="0" w:tplc="C7B63FAC">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EED76CC"/>
    <w:multiLevelType w:val="hybridMultilevel"/>
    <w:tmpl w:val="5DB67D52"/>
    <w:lvl w:ilvl="0" w:tplc="CC34A63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5FFD38B2"/>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1067A59"/>
    <w:multiLevelType w:val="hybridMultilevel"/>
    <w:tmpl w:val="EFBA4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1C4626A"/>
    <w:multiLevelType w:val="hybridMultilevel"/>
    <w:tmpl w:val="6A501F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3DE1206"/>
    <w:multiLevelType w:val="hybridMultilevel"/>
    <w:tmpl w:val="5D9A5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4881353"/>
    <w:multiLevelType w:val="hybridMultilevel"/>
    <w:tmpl w:val="029A4E8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nsid w:val="6592583D"/>
    <w:multiLevelType w:val="hybridMultilevel"/>
    <w:tmpl w:val="8F4CF442"/>
    <w:lvl w:ilvl="0" w:tplc="A7C00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7ED454D"/>
    <w:multiLevelType w:val="hybridMultilevel"/>
    <w:tmpl w:val="5734C104"/>
    <w:lvl w:ilvl="0" w:tplc="05D89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9CE5EA7"/>
    <w:multiLevelType w:val="hybridMultilevel"/>
    <w:tmpl w:val="0E2050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9FF1DCE"/>
    <w:multiLevelType w:val="hybridMultilevel"/>
    <w:tmpl w:val="443C4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34D2A71"/>
    <w:multiLevelType w:val="hybridMultilevel"/>
    <w:tmpl w:val="576422EC"/>
    <w:lvl w:ilvl="0" w:tplc="5C72D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40">
    <w:nsid w:val="787C7D05"/>
    <w:multiLevelType w:val="hybridMultilevel"/>
    <w:tmpl w:val="EE6C4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B036AF3"/>
    <w:multiLevelType w:val="hybridMultilevel"/>
    <w:tmpl w:val="551A241E"/>
    <w:lvl w:ilvl="0" w:tplc="F446D9B4">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9"/>
  </w:num>
  <w:num w:numId="2">
    <w:abstractNumId w:val="20"/>
  </w:num>
  <w:num w:numId="3">
    <w:abstractNumId w:val="1"/>
  </w:num>
  <w:num w:numId="4">
    <w:abstractNumId w:val="22"/>
  </w:num>
  <w:num w:numId="5">
    <w:abstractNumId w:val="18"/>
  </w:num>
  <w:num w:numId="6">
    <w:abstractNumId w:val="0"/>
  </w:num>
  <w:num w:numId="7">
    <w:abstractNumId w:val="28"/>
  </w:num>
  <w:num w:numId="8">
    <w:abstractNumId w:val="23"/>
  </w:num>
  <w:num w:numId="9">
    <w:abstractNumId w:val="2"/>
  </w:num>
  <w:num w:numId="10">
    <w:abstractNumId w:val="12"/>
  </w:num>
  <w:num w:numId="11">
    <w:abstractNumId w:val="24"/>
  </w:num>
  <w:num w:numId="12">
    <w:abstractNumId w:val="3"/>
  </w:num>
  <w:num w:numId="13">
    <w:abstractNumId w:val="10"/>
  </w:num>
  <w:num w:numId="14">
    <w:abstractNumId w:val="4"/>
  </w:num>
  <w:num w:numId="15">
    <w:abstractNumId w:val="14"/>
  </w:num>
  <w:num w:numId="16">
    <w:abstractNumId w:val="0"/>
  </w:num>
  <w:num w:numId="17">
    <w:abstractNumId w:val="4"/>
  </w:num>
  <w:num w:numId="18">
    <w:abstractNumId w:val="40"/>
  </w:num>
  <w:num w:numId="19">
    <w:abstractNumId w:val="35"/>
  </w:num>
  <w:num w:numId="20">
    <w:abstractNumId w:val="42"/>
  </w:num>
  <w:num w:numId="21">
    <w:abstractNumId w:val="37"/>
  </w:num>
  <w:num w:numId="22">
    <w:abstractNumId w:val="33"/>
  </w:num>
  <w:num w:numId="23">
    <w:abstractNumId w:val="15"/>
  </w:num>
  <w:num w:numId="24">
    <w:abstractNumId w:val="31"/>
  </w:num>
  <w:num w:numId="25">
    <w:abstractNumId w:val="9"/>
  </w:num>
  <w:num w:numId="26">
    <w:abstractNumId w:val="19"/>
  </w:num>
  <w:num w:numId="27">
    <w:abstractNumId w:val="29"/>
  </w:num>
  <w:num w:numId="28">
    <w:abstractNumId w:val="34"/>
  </w:num>
  <w:num w:numId="29">
    <w:abstractNumId w:val="38"/>
  </w:num>
  <w:num w:numId="30">
    <w:abstractNumId w:val="6"/>
  </w:num>
  <w:num w:numId="31">
    <w:abstractNumId w:val="5"/>
  </w:num>
  <w:num w:numId="32">
    <w:abstractNumId w:val="11"/>
  </w:num>
  <w:num w:numId="33">
    <w:abstractNumId w:val="27"/>
  </w:num>
  <w:num w:numId="34">
    <w:abstractNumId w:val="26"/>
  </w:num>
  <w:num w:numId="35">
    <w:abstractNumId w:val="17"/>
  </w:num>
  <w:num w:numId="36">
    <w:abstractNumId w:val="41"/>
  </w:num>
  <w:num w:numId="37">
    <w:abstractNumId w:val="16"/>
  </w:num>
  <w:num w:numId="38">
    <w:abstractNumId w:val="21"/>
  </w:num>
  <w:num w:numId="39">
    <w:abstractNumId w:val="8"/>
  </w:num>
  <w:num w:numId="40">
    <w:abstractNumId w:val="32"/>
  </w:num>
  <w:num w:numId="41">
    <w:abstractNumId w:val="13"/>
  </w:num>
  <w:num w:numId="42">
    <w:abstractNumId w:val="7"/>
  </w:num>
  <w:num w:numId="43">
    <w:abstractNumId w:val="25"/>
  </w:num>
  <w:num w:numId="44">
    <w:abstractNumId w:val="36"/>
  </w:num>
  <w:num w:numId="45">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A2"/>
    <w:rsid w:val="00000166"/>
    <w:rsid w:val="000008C2"/>
    <w:rsid w:val="00003379"/>
    <w:rsid w:val="0000365A"/>
    <w:rsid w:val="00005143"/>
    <w:rsid w:val="00005BA1"/>
    <w:rsid w:val="00005BBF"/>
    <w:rsid w:val="0000634E"/>
    <w:rsid w:val="000102CA"/>
    <w:rsid w:val="0001104C"/>
    <w:rsid w:val="000110F0"/>
    <w:rsid w:val="00011178"/>
    <w:rsid w:val="000119FE"/>
    <w:rsid w:val="00012DB2"/>
    <w:rsid w:val="00013D14"/>
    <w:rsid w:val="00016A7F"/>
    <w:rsid w:val="00017ACD"/>
    <w:rsid w:val="00026019"/>
    <w:rsid w:val="000331A9"/>
    <w:rsid w:val="00035026"/>
    <w:rsid w:val="000352FF"/>
    <w:rsid w:val="00040AA9"/>
    <w:rsid w:val="000412BA"/>
    <w:rsid w:val="00042E9B"/>
    <w:rsid w:val="0004490E"/>
    <w:rsid w:val="000556E4"/>
    <w:rsid w:val="00056302"/>
    <w:rsid w:val="0005667D"/>
    <w:rsid w:val="00060302"/>
    <w:rsid w:val="00061C12"/>
    <w:rsid w:val="00061CB6"/>
    <w:rsid w:val="00063DF1"/>
    <w:rsid w:val="00063EA6"/>
    <w:rsid w:val="0006463E"/>
    <w:rsid w:val="00064969"/>
    <w:rsid w:val="0006529B"/>
    <w:rsid w:val="0006650E"/>
    <w:rsid w:val="000674A8"/>
    <w:rsid w:val="00071233"/>
    <w:rsid w:val="00072CB2"/>
    <w:rsid w:val="00072E8E"/>
    <w:rsid w:val="00072F8B"/>
    <w:rsid w:val="00073B3F"/>
    <w:rsid w:val="00074B74"/>
    <w:rsid w:val="00075E8D"/>
    <w:rsid w:val="0007770A"/>
    <w:rsid w:val="00077BF0"/>
    <w:rsid w:val="00080148"/>
    <w:rsid w:val="00080A73"/>
    <w:rsid w:val="00082348"/>
    <w:rsid w:val="0008362C"/>
    <w:rsid w:val="000840A2"/>
    <w:rsid w:val="00090DE7"/>
    <w:rsid w:val="00091AD4"/>
    <w:rsid w:val="00091D44"/>
    <w:rsid w:val="000927AA"/>
    <w:rsid w:val="00092DB3"/>
    <w:rsid w:val="00097DDA"/>
    <w:rsid w:val="000A04D9"/>
    <w:rsid w:val="000A0712"/>
    <w:rsid w:val="000A1CD9"/>
    <w:rsid w:val="000A204D"/>
    <w:rsid w:val="000A2512"/>
    <w:rsid w:val="000A39DC"/>
    <w:rsid w:val="000A66A2"/>
    <w:rsid w:val="000A6EDA"/>
    <w:rsid w:val="000B09F9"/>
    <w:rsid w:val="000B0AAA"/>
    <w:rsid w:val="000B15B5"/>
    <w:rsid w:val="000B2E80"/>
    <w:rsid w:val="000B5B5B"/>
    <w:rsid w:val="000B6CF1"/>
    <w:rsid w:val="000B78FA"/>
    <w:rsid w:val="000C00FF"/>
    <w:rsid w:val="000C0C81"/>
    <w:rsid w:val="000C472B"/>
    <w:rsid w:val="000C634E"/>
    <w:rsid w:val="000C65BA"/>
    <w:rsid w:val="000C69D3"/>
    <w:rsid w:val="000C6B30"/>
    <w:rsid w:val="000C785E"/>
    <w:rsid w:val="000D0770"/>
    <w:rsid w:val="000D1C10"/>
    <w:rsid w:val="000D2B07"/>
    <w:rsid w:val="000D2B10"/>
    <w:rsid w:val="000D4D42"/>
    <w:rsid w:val="000D6790"/>
    <w:rsid w:val="000D6A6C"/>
    <w:rsid w:val="000E08A8"/>
    <w:rsid w:val="000E0E94"/>
    <w:rsid w:val="000E15DF"/>
    <w:rsid w:val="000E2BF9"/>
    <w:rsid w:val="000E381F"/>
    <w:rsid w:val="000E4D88"/>
    <w:rsid w:val="000E546D"/>
    <w:rsid w:val="000F12DA"/>
    <w:rsid w:val="000F17A5"/>
    <w:rsid w:val="000F2A98"/>
    <w:rsid w:val="000F44F2"/>
    <w:rsid w:val="000F72A0"/>
    <w:rsid w:val="000F74C6"/>
    <w:rsid w:val="000F79B7"/>
    <w:rsid w:val="001000AE"/>
    <w:rsid w:val="00101978"/>
    <w:rsid w:val="00102FF2"/>
    <w:rsid w:val="001042D7"/>
    <w:rsid w:val="001045F8"/>
    <w:rsid w:val="0010523D"/>
    <w:rsid w:val="001059EB"/>
    <w:rsid w:val="001064F1"/>
    <w:rsid w:val="00114B14"/>
    <w:rsid w:val="00116F9D"/>
    <w:rsid w:val="00122060"/>
    <w:rsid w:val="00124B1D"/>
    <w:rsid w:val="00124E6A"/>
    <w:rsid w:val="00125540"/>
    <w:rsid w:val="001266F2"/>
    <w:rsid w:val="00126FF3"/>
    <w:rsid w:val="001336DB"/>
    <w:rsid w:val="00135637"/>
    <w:rsid w:val="00135733"/>
    <w:rsid w:val="0013607B"/>
    <w:rsid w:val="001364C8"/>
    <w:rsid w:val="00137D20"/>
    <w:rsid w:val="0014089D"/>
    <w:rsid w:val="0014285E"/>
    <w:rsid w:val="001439B4"/>
    <w:rsid w:val="001441B9"/>
    <w:rsid w:val="00146909"/>
    <w:rsid w:val="00146FDB"/>
    <w:rsid w:val="00147069"/>
    <w:rsid w:val="0014731B"/>
    <w:rsid w:val="001479F4"/>
    <w:rsid w:val="00150FB0"/>
    <w:rsid w:val="0015640F"/>
    <w:rsid w:val="001604B7"/>
    <w:rsid w:val="0016150C"/>
    <w:rsid w:val="0016265A"/>
    <w:rsid w:val="00163119"/>
    <w:rsid w:val="00163185"/>
    <w:rsid w:val="0016374B"/>
    <w:rsid w:val="00167DCA"/>
    <w:rsid w:val="001720CF"/>
    <w:rsid w:val="001728A2"/>
    <w:rsid w:val="001749D4"/>
    <w:rsid w:val="00175C25"/>
    <w:rsid w:val="001772F2"/>
    <w:rsid w:val="00180019"/>
    <w:rsid w:val="001800C2"/>
    <w:rsid w:val="00180430"/>
    <w:rsid w:val="001819E5"/>
    <w:rsid w:val="00182C0E"/>
    <w:rsid w:val="00182DD5"/>
    <w:rsid w:val="001838C3"/>
    <w:rsid w:val="00187595"/>
    <w:rsid w:val="0018790A"/>
    <w:rsid w:val="00192880"/>
    <w:rsid w:val="00192F45"/>
    <w:rsid w:val="00193FF0"/>
    <w:rsid w:val="00195546"/>
    <w:rsid w:val="00195F8A"/>
    <w:rsid w:val="0019606A"/>
    <w:rsid w:val="00196215"/>
    <w:rsid w:val="00196E7A"/>
    <w:rsid w:val="0019722F"/>
    <w:rsid w:val="001979E6"/>
    <w:rsid w:val="001A1EFE"/>
    <w:rsid w:val="001A2717"/>
    <w:rsid w:val="001A3EA9"/>
    <w:rsid w:val="001A54B2"/>
    <w:rsid w:val="001A7A7F"/>
    <w:rsid w:val="001B2EE0"/>
    <w:rsid w:val="001B3BC0"/>
    <w:rsid w:val="001B49BF"/>
    <w:rsid w:val="001B5FF6"/>
    <w:rsid w:val="001B6B15"/>
    <w:rsid w:val="001B7767"/>
    <w:rsid w:val="001C123D"/>
    <w:rsid w:val="001C1C28"/>
    <w:rsid w:val="001C2566"/>
    <w:rsid w:val="001C4C8E"/>
    <w:rsid w:val="001C6C60"/>
    <w:rsid w:val="001D0243"/>
    <w:rsid w:val="001D065E"/>
    <w:rsid w:val="001D12B4"/>
    <w:rsid w:val="001D24E0"/>
    <w:rsid w:val="001D283D"/>
    <w:rsid w:val="001D2A70"/>
    <w:rsid w:val="001D33F2"/>
    <w:rsid w:val="001D4900"/>
    <w:rsid w:val="001D49E1"/>
    <w:rsid w:val="001D4C7F"/>
    <w:rsid w:val="001D7872"/>
    <w:rsid w:val="001E05DF"/>
    <w:rsid w:val="001E756A"/>
    <w:rsid w:val="001E76A0"/>
    <w:rsid w:val="001E7A8F"/>
    <w:rsid w:val="001F1C10"/>
    <w:rsid w:val="001F1EBB"/>
    <w:rsid w:val="001F2B6F"/>
    <w:rsid w:val="001F326D"/>
    <w:rsid w:val="001F3FD7"/>
    <w:rsid w:val="001F4B48"/>
    <w:rsid w:val="001F4F56"/>
    <w:rsid w:val="00200A51"/>
    <w:rsid w:val="002015DB"/>
    <w:rsid w:val="00201E62"/>
    <w:rsid w:val="002020EC"/>
    <w:rsid w:val="00203925"/>
    <w:rsid w:val="00203F78"/>
    <w:rsid w:val="00205485"/>
    <w:rsid w:val="00206284"/>
    <w:rsid w:val="00207EF6"/>
    <w:rsid w:val="00211037"/>
    <w:rsid w:val="002129B5"/>
    <w:rsid w:val="00212AA9"/>
    <w:rsid w:val="002151B4"/>
    <w:rsid w:val="00215B81"/>
    <w:rsid w:val="00215D0E"/>
    <w:rsid w:val="00216680"/>
    <w:rsid w:val="00217211"/>
    <w:rsid w:val="0022073E"/>
    <w:rsid w:val="00220B39"/>
    <w:rsid w:val="00220CB2"/>
    <w:rsid w:val="00220F3A"/>
    <w:rsid w:val="00221280"/>
    <w:rsid w:val="002218F0"/>
    <w:rsid w:val="00222005"/>
    <w:rsid w:val="002231E1"/>
    <w:rsid w:val="00224C36"/>
    <w:rsid w:val="002251DE"/>
    <w:rsid w:val="00226B9F"/>
    <w:rsid w:val="00227DFB"/>
    <w:rsid w:val="00227DFE"/>
    <w:rsid w:val="00227F86"/>
    <w:rsid w:val="00230158"/>
    <w:rsid w:val="00232A23"/>
    <w:rsid w:val="002343EC"/>
    <w:rsid w:val="00236CF7"/>
    <w:rsid w:val="00240BB4"/>
    <w:rsid w:val="00241785"/>
    <w:rsid w:val="00241A7E"/>
    <w:rsid w:val="00242B10"/>
    <w:rsid w:val="00242C39"/>
    <w:rsid w:val="00242F62"/>
    <w:rsid w:val="00244436"/>
    <w:rsid w:val="00250B7B"/>
    <w:rsid w:val="00250DEE"/>
    <w:rsid w:val="0025145F"/>
    <w:rsid w:val="002520CD"/>
    <w:rsid w:val="00252AD1"/>
    <w:rsid w:val="00252F2E"/>
    <w:rsid w:val="00253096"/>
    <w:rsid w:val="002533F7"/>
    <w:rsid w:val="00253F02"/>
    <w:rsid w:val="00254118"/>
    <w:rsid w:val="002543BF"/>
    <w:rsid w:val="00255338"/>
    <w:rsid w:val="002561E9"/>
    <w:rsid w:val="00256C7C"/>
    <w:rsid w:val="00260BA7"/>
    <w:rsid w:val="00263BCB"/>
    <w:rsid w:val="0026424A"/>
    <w:rsid w:val="00264C81"/>
    <w:rsid w:val="0027121D"/>
    <w:rsid w:val="002739FA"/>
    <w:rsid w:val="00273FF7"/>
    <w:rsid w:val="002746C5"/>
    <w:rsid w:val="002746E2"/>
    <w:rsid w:val="00275FC6"/>
    <w:rsid w:val="002809DB"/>
    <w:rsid w:val="00281841"/>
    <w:rsid w:val="0028373B"/>
    <w:rsid w:val="00286927"/>
    <w:rsid w:val="00290A1E"/>
    <w:rsid w:val="002914B5"/>
    <w:rsid w:val="002917C4"/>
    <w:rsid w:val="002917EF"/>
    <w:rsid w:val="00292137"/>
    <w:rsid w:val="00295733"/>
    <w:rsid w:val="00295E86"/>
    <w:rsid w:val="002A0DEA"/>
    <w:rsid w:val="002A244F"/>
    <w:rsid w:val="002A2B9C"/>
    <w:rsid w:val="002A4488"/>
    <w:rsid w:val="002A4762"/>
    <w:rsid w:val="002B0822"/>
    <w:rsid w:val="002B35CF"/>
    <w:rsid w:val="002B581C"/>
    <w:rsid w:val="002B5A44"/>
    <w:rsid w:val="002B63DD"/>
    <w:rsid w:val="002B69BD"/>
    <w:rsid w:val="002B6D11"/>
    <w:rsid w:val="002B7EEF"/>
    <w:rsid w:val="002B7F42"/>
    <w:rsid w:val="002C05A9"/>
    <w:rsid w:val="002C11BF"/>
    <w:rsid w:val="002C326D"/>
    <w:rsid w:val="002C6A1C"/>
    <w:rsid w:val="002C6F14"/>
    <w:rsid w:val="002D01C0"/>
    <w:rsid w:val="002D073F"/>
    <w:rsid w:val="002D09F5"/>
    <w:rsid w:val="002D0D0E"/>
    <w:rsid w:val="002D175D"/>
    <w:rsid w:val="002D2D06"/>
    <w:rsid w:val="002D4E67"/>
    <w:rsid w:val="002D539F"/>
    <w:rsid w:val="002D70DA"/>
    <w:rsid w:val="002E350B"/>
    <w:rsid w:val="002E3F8E"/>
    <w:rsid w:val="002E5A45"/>
    <w:rsid w:val="002E6460"/>
    <w:rsid w:val="002E7C39"/>
    <w:rsid w:val="002F0F48"/>
    <w:rsid w:val="002F1704"/>
    <w:rsid w:val="002F4627"/>
    <w:rsid w:val="002F6A33"/>
    <w:rsid w:val="002F6FB1"/>
    <w:rsid w:val="002F7886"/>
    <w:rsid w:val="002F7E0B"/>
    <w:rsid w:val="002F7F05"/>
    <w:rsid w:val="00300909"/>
    <w:rsid w:val="00302481"/>
    <w:rsid w:val="00302600"/>
    <w:rsid w:val="00302E16"/>
    <w:rsid w:val="00302E24"/>
    <w:rsid w:val="003033A3"/>
    <w:rsid w:val="003035C8"/>
    <w:rsid w:val="003040EB"/>
    <w:rsid w:val="00305D43"/>
    <w:rsid w:val="00305F95"/>
    <w:rsid w:val="00306590"/>
    <w:rsid w:val="00307A9B"/>
    <w:rsid w:val="00315A97"/>
    <w:rsid w:val="003163A2"/>
    <w:rsid w:val="0031662D"/>
    <w:rsid w:val="003201EB"/>
    <w:rsid w:val="00320778"/>
    <w:rsid w:val="00322B3C"/>
    <w:rsid w:val="00322E1D"/>
    <w:rsid w:val="00323879"/>
    <w:rsid w:val="00326C76"/>
    <w:rsid w:val="00326F1D"/>
    <w:rsid w:val="00327755"/>
    <w:rsid w:val="0033017E"/>
    <w:rsid w:val="00331133"/>
    <w:rsid w:val="00331243"/>
    <w:rsid w:val="0033302B"/>
    <w:rsid w:val="00335483"/>
    <w:rsid w:val="00336A72"/>
    <w:rsid w:val="00337FDA"/>
    <w:rsid w:val="003406CE"/>
    <w:rsid w:val="00340812"/>
    <w:rsid w:val="00340D63"/>
    <w:rsid w:val="00342D65"/>
    <w:rsid w:val="00342EAC"/>
    <w:rsid w:val="00344433"/>
    <w:rsid w:val="003448EC"/>
    <w:rsid w:val="00346605"/>
    <w:rsid w:val="00346AA5"/>
    <w:rsid w:val="003511F5"/>
    <w:rsid w:val="00351CE0"/>
    <w:rsid w:val="00352675"/>
    <w:rsid w:val="00353E1D"/>
    <w:rsid w:val="003556AE"/>
    <w:rsid w:val="003560BA"/>
    <w:rsid w:val="00357944"/>
    <w:rsid w:val="00357BAC"/>
    <w:rsid w:val="00357BCC"/>
    <w:rsid w:val="0036144D"/>
    <w:rsid w:val="00361475"/>
    <w:rsid w:val="003617C9"/>
    <w:rsid w:val="00363026"/>
    <w:rsid w:val="003645A3"/>
    <w:rsid w:val="00365269"/>
    <w:rsid w:val="003652FF"/>
    <w:rsid w:val="003667D6"/>
    <w:rsid w:val="00367360"/>
    <w:rsid w:val="00370CEA"/>
    <w:rsid w:val="00371987"/>
    <w:rsid w:val="00372E51"/>
    <w:rsid w:val="00375B3F"/>
    <w:rsid w:val="0037658D"/>
    <w:rsid w:val="00376EDA"/>
    <w:rsid w:val="0037720F"/>
    <w:rsid w:val="0037725B"/>
    <w:rsid w:val="003779D7"/>
    <w:rsid w:val="0038506C"/>
    <w:rsid w:val="00385B39"/>
    <w:rsid w:val="00386AC3"/>
    <w:rsid w:val="0039020E"/>
    <w:rsid w:val="00392134"/>
    <w:rsid w:val="003949C9"/>
    <w:rsid w:val="0039655C"/>
    <w:rsid w:val="00397430"/>
    <w:rsid w:val="003A00D3"/>
    <w:rsid w:val="003A0374"/>
    <w:rsid w:val="003A2790"/>
    <w:rsid w:val="003A517C"/>
    <w:rsid w:val="003A7E4D"/>
    <w:rsid w:val="003B1DD2"/>
    <w:rsid w:val="003B3FFD"/>
    <w:rsid w:val="003B4352"/>
    <w:rsid w:val="003B5C50"/>
    <w:rsid w:val="003B5D25"/>
    <w:rsid w:val="003B7496"/>
    <w:rsid w:val="003B75E0"/>
    <w:rsid w:val="003C1765"/>
    <w:rsid w:val="003C2087"/>
    <w:rsid w:val="003C22D2"/>
    <w:rsid w:val="003C24B5"/>
    <w:rsid w:val="003C4CBC"/>
    <w:rsid w:val="003C5A2A"/>
    <w:rsid w:val="003C6DD2"/>
    <w:rsid w:val="003D1533"/>
    <w:rsid w:val="003D1C03"/>
    <w:rsid w:val="003D1DB6"/>
    <w:rsid w:val="003D26C8"/>
    <w:rsid w:val="003D549A"/>
    <w:rsid w:val="003D60CA"/>
    <w:rsid w:val="003D625E"/>
    <w:rsid w:val="003D7CFB"/>
    <w:rsid w:val="003E1E70"/>
    <w:rsid w:val="003E212F"/>
    <w:rsid w:val="003E26AC"/>
    <w:rsid w:val="003E3745"/>
    <w:rsid w:val="003E3F5F"/>
    <w:rsid w:val="003E454E"/>
    <w:rsid w:val="003E590B"/>
    <w:rsid w:val="003E5C1A"/>
    <w:rsid w:val="003E66DA"/>
    <w:rsid w:val="003E68F1"/>
    <w:rsid w:val="003E7073"/>
    <w:rsid w:val="003E7A1F"/>
    <w:rsid w:val="003F0D0E"/>
    <w:rsid w:val="003F1AFF"/>
    <w:rsid w:val="003F4571"/>
    <w:rsid w:val="004006C7"/>
    <w:rsid w:val="00401ABA"/>
    <w:rsid w:val="004062B0"/>
    <w:rsid w:val="00406E8D"/>
    <w:rsid w:val="00407227"/>
    <w:rsid w:val="00410514"/>
    <w:rsid w:val="004113F9"/>
    <w:rsid w:val="00411CAA"/>
    <w:rsid w:val="0041449D"/>
    <w:rsid w:val="00414750"/>
    <w:rsid w:val="00414C14"/>
    <w:rsid w:val="004151FB"/>
    <w:rsid w:val="00415E93"/>
    <w:rsid w:val="004205E8"/>
    <w:rsid w:val="004240FB"/>
    <w:rsid w:val="0042445F"/>
    <w:rsid w:val="00424A9E"/>
    <w:rsid w:val="00426A69"/>
    <w:rsid w:val="00431B24"/>
    <w:rsid w:val="00431F2D"/>
    <w:rsid w:val="004328DE"/>
    <w:rsid w:val="0043296A"/>
    <w:rsid w:val="0043333B"/>
    <w:rsid w:val="00435188"/>
    <w:rsid w:val="004355B4"/>
    <w:rsid w:val="00435863"/>
    <w:rsid w:val="00436CA6"/>
    <w:rsid w:val="00441C6F"/>
    <w:rsid w:val="0044221B"/>
    <w:rsid w:val="004440E5"/>
    <w:rsid w:val="00444534"/>
    <w:rsid w:val="00444ED5"/>
    <w:rsid w:val="004456AB"/>
    <w:rsid w:val="00446413"/>
    <w:rsid w:val="004469F9"/>
    <w:rsid w:val="0045040C"/>
    <w:rsid w:val="004507B9"/>
    <w:rsid w:val="004517F3"/>
    <w:rsid w:val="00451ED0"/>
    <w:rsid w:val="004526A2"/>
    <w:rsid w:val="0045339E"/>
    <w:rsid w:val="004542EA"/>
    <w:rsid w:val="0045688B"/>
    <w:rsid w:val="004575DB"/>
    <w:rsid w:val="004578DC"/>
    <w:rsid w:val="004600B2"/>
    <w:rsid w:val="00462BB9"/>
    <w:rsid w:val="0046346C"/>
    <w:rsid w:val="00463616"/>
    <w:rsid w:val="00463882"/>
    <w:rsid w:val="00464499"/>
    <w:rsid w:val="00466290"/>
    <w:rsid w:val="004666AD"/>
    <w:rsid w:val="004671AB"/>
    <w:rsid w:val="004767C3"/>
    <w:rsid w:val="00484DCB"/>
    <w:rsid w:val="00485520"/>
    <w:rsid w:val="00487A33"/>
    <w:rsid w:val="0049432F"/>
    <w:rsid w:val="00494785"/>
    <w:rsid w:val="00495D64"/>
    <w:rsid w:val="0049681E"/>
    <w:rsid w:val="00497797"/>
    <w:rsid w:val="004A0C97"/>
    <w:rsid w:val="004A1368"/>
    <w:rsid w:val="004A1C34"/>
    <w:rsid w:val="004A5DC2"/>
    <w:rsid w:val="004A6232"/>
    <w:rsid w:val="004A72F1"/>
    <w:rsid w:val="004B147A"/>
    <w:rsid w:val="004B253E"/>
    <w:rsid w:val="004B59B5"/>
    <w:rsid w:val="004B5C83"/>
    <w:rsid w:val="004C1719"/>
    <w:rsid w:val="004C1BA7"/>
    <w:rsid w:val="004C2A7A"/>
    <w:rsid w:val="004C2FFF"/>
    <w:rsid w:val="004C339D"/>
    <w:rsid w:val="004C4FF6"/>
    <w:rsid w:val="004C60BE"/>
    <w:rsid w:val="004C66A7"/>
    <w:rsid w:val="004C68EB"/>
    <w:rsid w:val="004C6B99"/>
    <w:rsid w:val="004C6E9E"/>
    <w:rsid w:val="004D021F"/>
    <w:rsid w:val="004D054E"/>
    <w:rsid w:val="004D2269"/>
    <w:rsid w:val="004D385F"/>
    <w:rsid w:val="004D4D3B"/>
    <w:rsid w:val="004D5C5B"/>
    <w:rsid w:val="004D5CB7"/>
    <w:rsid w:val="004D6155"/>
    <w:rsid w:val="004D6633"/>
    <w:rsid w:val="004E096E"/>
    <w:rsid w:val="004E09B5"/>
    <w:rsid w:val="004E2C58"/>
    <w:rsid w:val="004E30E7"/>
    <w:rsid w:val="004E3AC7"/>
    <w:rsid w:val="004E3C9D"/>
    <w:rsid w:val="004E417F"/>
    <w:rsid w:val="004E4265"/>
    <w:rsid w:val="004E50FA"/>
    <w:rsid w:val="004E6838"/>
    <w:rsid w:val="004F1C06"/>
    <w:rsid w:val="004F29E6"/>
    <w:rsid w:val="004F2F74"/>
    <w:rsid w:val="004F43A7"/>
    <w:rsid w:val="004F4747"/>
    <w:rsid w:val="004F4D35"/>
    <w:rsid w:val="004F6EA1"/>
    <w:rsid w:val="00500D62"/>
    <w:rsid w:val="00502074"/>
    <w:rsid w:val="005020F5"/>
    <w:rsid w:val="00502A17"/>
    <w:rsid w:val="00503380"/>
    <w:rsid w:val="00504127"/>
    <w:rsid w:val="00507EAD"/>
    <w:rsid w:val="00510147"/>
    <w:rsid w:val="00510EE0"/>
    <w:rsid w:val="00510FC1"/>
    <w:rsid w:val="00511219"/>
    <w:rsid w:val="0051122A"/>
    <w:rsid w:val="00511394"/>
    <w:rsid w:val="00512DFD"/>
    <w:rsid w:val="005207C4"/>
    <w:rsid w:val="00521453"/>
    <w:rsid w:val="00525356"/>
    <w:rsid w:val="0052576B"/>
    <w:rsid w:val="00525A11"/>
    <w:rsid w:val="005265BA"/>
    <w:rsid w:val="00526741"/>
    <w:rsid w:val="00530766"/>
    <w:rsid w:val="00534D22"/>
    <w:rsid w:val="00535CCB"/>
    <w:rsid w:val="005366D2"/>
    <w:rsid w:val="00536835"/>
    <w:rsid w:val="0053768A"/>
    <w:rsid w:val="005458B3"/>
    <w:rsid w:val="00546943"/>
    <w:rsid w:val="00546A5E"/>
    <w:rsid w:val="005501FC"/>
    <w:rsid w:val="00553895"/>
    <w:rsid w:val="00553B60"/>
    <w:rsid w:val="0055682D"/>
    <w:rsid w:val="00557684"/>
    <w:rsid w:val="00557E69"/>
    <w:rsid w:val="0056133C"/>
    <w:rsid w:val="00561524"/>
    <w:rsid w:val="00561C53"/>
    <w:rsid w:val="0056200F"/>
    <w:rsid w:val="00562288"/>
    <w:rsid w:val="00563C54"/>
    <w:rsid w:val="0056516C"/>
    <w:rsid w:val="00566DBA"/>
    <w:rsid w:val="00567262"/>
    <w:rsid w:val="00574885"/>
    <w:rsid w:val="0057495B"/>
    <w:rsid w:val="00575E9B"/>
    <w:rsid w:val="005762C1"/>
    <w:rsid w:val="00577C22"/>
    <w:rsid w:val="00577F5D"/>
    <w:rsid w:val="00580C05"/>
    <w:rsid w:val="00582CFB"/>
    <w:rsid w:val="00584F3B"/>
    <w:rsid w:val="00585030"/>
    <w:rsid w:val="0058548B"/>
    <w:rsid w:val="00585A8E"/>
    <w:rsid w:val="00585D03"/>
    <w:rsid w:val="00586736"/>
    <w:rsid w:val="005877F3"/>
    <w:rsid w:val="00590576"/>
    <w:rsid w:val="00591C41"/>
    <w:rsid w:val="00591C96"/>
    <w:rsid w:val="0059234B"/>
    <w:rsid w:val="005925BD"/>
    <w:rsid w:val="005932F7"/>
    <w:rsid w:val="00594288"/>
    <w:rsid w:val="00594C8E"/>
    <w:rsid w:val="00595CC5"/>
    <w:rsid w:val="005A0055"/>
    <w:rsid w:val="005A0224"/>
    <w:rsid w:val="005A0B85"/>
    <w:rsid w:val="005A1C51"/>
    <w:rsid w:val="005A359D"/>
    <w:rsid w:val="005A46D1"/>
    <w:rsid w:val="005A4FA0"/>
    <w:rsid w:val="005A68FB"/>
    <w:rsid w:val="005A775E"/>
    <w:rsid w:val="005A7F0F"/>
    <w:rsid w:val="005B101A"/>
    <w:rsid w:val="005B1107"/>
    <w:rsid w:val="005B1AC4"/>
    <w:rsid w:val="005B218B"/>
    <w:rsid w:val="005B3317"/>
    <w:rsid w:val="005B4512"/>
    <w:rsid w:val="005B4559"/>
    <w:rsid w:val="005B4B5E"/>
    <w:rsid w:val="005B6BFE"/>
    <w:rsid w:val="005B7161"/>
    <w:rsid w:val="005B7481"/>
    <w:rsid w:val="005C3596"/>
    <w:rsid w:val="005C35ED"/>
    <w:rsid w:val="005C3827"/>
    <w:rsid w:val="005C5B60"/>
    <w:rsid w:val="005C73AA"/>
    <w:rsid w:val="005C7438"/>
    <w:rsid w:val="005D1668"/>
    <w:rsid w:val="005D2A12"/>
    <w:rsid w:val="005D523C"/>
    <w:rsid w:val="005D6754"/>
    <w:rsid w:val="005D78A0"/>
    <w:rsid w:val="005E2891"/>
    <w:rsid w:val="005E54BD"/>
    <w:rsid w:val="005E62A0"/>
    <w:rsid w:val="005E62CF"/>
    <w:rsid w:val="005E633D"/>
    <w:rsid w:val="005E767D"/>
    <w:rsid w:val="005F1655"/>
    <w:rsid w:val="005F16E5"/>
    <w:rsid w:val="005F1A84"/>
    <w:rsid w:val="005F1B6C"/>
    <w:rsid w:val="005F371E"/>
    <w:rsid w:val="005F6A84"/>
    <w:rsid w:val="00601445"/>
    <w:rsid w:val="00601AE6"/>
    <w:rsid w:val="006021DE"/>
    <w:rsid w:val="006022B0"/>
    <w:rsid w:val="00602A0F"/>
    <w:rsid w:val="00602A2C"/>
    <w:rsid w:val="00602DCF"/>
    <w:rsid w:val="00604EC9"/>
    <w:rsid w:val="00610341"/>
    <w:rsid w:val="0061242D"/>
    <w:rsid w:val="0061259E"/>
    <w:rsid w:val="00612BED"/>
    <w:rsid w:val="006133CA"/>
    <w:rsid w:val="006139C6"/>
    <w:rsid w:val="00614582"/>
    <w:rsid w:val="006149E7"/>
    <w:rsid w:val="00614C81"/>
    <w:rsid w:val="00616733"/>
    <w:rsid w:val="00616A1C"/>
    <w:rsid w:val="00617048"/>
    <w:rsid w:val="006210E5"/>
    <w:rsid w:val="006233B9"/>
    <w:rsid w:val="00623736"/>
    <w:rsid w:val="006248C4"/>
    <w:rsid w:val="006252D7"/>
    <w:rsid w:val="006257BF"/>
    <w:rsid w:val="00625B1D"/>
    <w:rsid w:val="00626039"/>
    <w:rsid w:val="00626062"/>
    <w:rsid w:val="00627A77"/>
    <w:rsid w:val="006326E0"/>
    <w:rsid w:val="006335BE"/>
    <w:rsid w:val="006336C1"/>
    <w:rsid w:val="00633BB0"/>
    <w:rsid w:val="00636810"/>
    <w:rsid w:val="00641064"/>
    <w:rsid w:val="006412C4"/>
    <w:rsid w:val="00644D08"/>
    <w:rsid w:val="00646E01"/>
    <w:rsid w:val="00650F0D"/>
    <w:rsid w:val="006510EA"/>
    <w:rsid w:val="00651181"/>
    <w:rsid w:val="006514D6"/>
    <w:rsid w:val="00652753"/>
    <w:rsid w:val="006529CA"/>
    <w:rsid w:val="00653271"/>
    <w:rsid w:val="00653309"/>
    <w:rsid w:val="0065332D"/>
    <w:rsid w:val="00657A7B"/>
    <w:rsid w:val="00657B65"/>
    <w:rsid w:val="00657DC9"/>
    <w:rsid w:val="00657EB4"/>
    <w:rsid w:val="00661598"/>
    <w:rsid w:val="00661F4A"/>
    <w:rsid w:val="006642DB"/>
    <w:rsid w:val="00664615"/>
    <w:rsid w:val="006651AA"/>
    <w:rsid w:val="00665D1C"/>
    <w:rsid w:val="00666857"/>
    <w:rsid w:val="00674D34"/>
    <w:rsid w:val="006758C9"/>
    <w:rsid w:val="00675CA5"/>
    <w:rsid w:val="00677D8C"/>
    <w:rsid w:val="0068040B"/>
    <w:rsid w:val="00681FD8"/>
    <w:rsid w:val="00684CB6"/>
    <w:rsid w:val="00685631"/>
    <w:rsid w:val="00687422"/>
    <w:rsid w:val="006876AF"/>
    <w:rsid w:val="00690161"/>
    <w:rsid w:val="0069029A"/>
    <w:rsid w:val="00692AFE"/>
    <w:rsid w:val="0069303E"/>
    <w:rsid w:val="006943BE"/>
    <w:rsid w:val="00694F09"/>
    <w:rsid w:val="00695AE0"/>
    <w:rsid w:val="00697A8E"/>
    <w:rsid w:val="006A01DF"/>
    <w:rsid w:val="006A2A8D"/>
    <w:rsid w:val="006A4104"/>
    <w:rsid w:val="006A4976"/>
    <w:rsid w:val="006A4B67"/>
    <w:rsid w:val="006A4C14"/>
    <w:rsid w:val="006A5021"/>
    <w:rsid w:val="006A5D2D"/>
    <w:rsid w:val="006A6891"/>
    <w:rsid w:val="006A6B49"/>
    <w:rsid w:val="006A780E"/>
    <w:rsid w:val="006B1039"/>
    <w:rsid w:val="006B1667"/>
    <w:rsid w:val="006B35C9"/>
    <w:rsid w:val="006B4652"/>
    <w:rsid w:val="006B4DF1"/>
    <w:rsid w:val="006B6BCD"/>
    <w:rsid w:val="006B71D9"/>
    <w:rsid w:val="006C2EE1"/>
    <w:rsid w:val="006C3A54"/>
    <w:rsid w:val="006C4627"/>
    <w:rsid w:val="006C6725"/>
    <w:rsid w:val="006C699E"/>
    <w:rsid w:val="006C6B9C"/>
    <w:rsid w:val="006D2D28"/>
    <w:rsid w:val="006D31F7"/>
    <w:rsid w:val="006D4BEF"/>
    <w:rsid w:val="006D4C98"/>
    <w:rsid w:val="006D518E"/>
    <w:rsid w:val="006D64BC"/>
    <w:rsid w:val="006D656F"/>
    <w:rsid w:val="006D6B67"/>
    <w:rsid w:val="006D78D0"/>
    <w:rsid w:val="006D7C26"/>
    <w:rsid w:val="006E0550"/>
    <w:rsid w:val="006E101A"/>
    <w:rsid w:val="006E11C0"/>
    <w:rsid w:val="006E1A59"/>
    <w:rsid w:val="006E1B40"/>
    <w:rsid w:val="006E2C10"/>
    <w:rsid w:val="006E2EFE"/>
    <w:rsid w:val="006E46B9"/>
    <w:rsid w:val="006E5CC5"/>
    <w:rsid w:val="006E6888"/>
    <w:rsid w:val="006E69F8"/>
    <w:rsid w:val="006E71E7"/>
    <w:rsid w:val="006E751A"/>
    <w:rsid w:val="006F0069"/>
    <w:rsid w:val="006F0567"/>
    <w:rsid w:val="006F1C6B"/>
    <w:rsid w:val="006F2CDC"/>
    <w:rsid w:val="006F2CE5"/>
    <w:rsid w:val="006F3766"/>
    <w:rsid w:val="006F5671"/>
    <w:rsid w:val="006F5C81"/>
    <w:rsid w:val="006F70EC"/>
    <w:rsid w:val="007026AA"/>
    <w:rsid w:val="00703E68"/>
    <w:rsid w:val="0070533A"/>
    <w:rsid w:val="00707535"/>
    <w:rsid w:val="00707C61"/>
    <w:rsid w:val="007104C4"/>
    <w:rsid w:val="00710CEA"/>
    <w:rsid w:val="0071249F"/>
    <w:rsid w:val="00715A42"/>
    <w:rsid w:val="00717CAF"/>
    <w:rsid w:val="007215EB"/>
    <w:rsid w:val="007218B4"/>
    <w:rsid w:val="007219D0"/>
    <w:rsid w:val="00723C69"/>
    <w:rsid w:val="00727488"/>
    <w:rsid w:val="0073188F"/>
    <w:rsid w:val="007320B0"/>
    <w:rsid w:val="00737B98"/>
    <w:rsid w:val="00740A02"/>
    <w:rsid w:val="00742511"/>
    <w:rsid w:val="00742F7B"/>
    <w:rsid w:val="00743B5C"/>
    <w:rsid w:val="00745E54"/>
    <w:rsid w:val="007525A2"/>
    <w:rsid w:val="007528C4"/>
    <w:rsid w:val="0075297D"/>
    <w:rsid w:val="00752C15"/>
    <w:rsid w:val="007531B7"/>
    <w:rsid w:val="00756556"/>
    <w:rsid w:val="00761C82"/>
    <w:rsid w:val="00761F8C"/>
    <w:rsid w:val="00762818"/>
    <w:rsid w:val="00764774"/>
    <w:rsid w:val="007657CF"/>
    <w:rsid w:val="00767A64"/>
    <w:rsid w:val="007740BC"/>
    <w:rsid w:val="0077473B"/>
    <w:rsid w:val="007752B8"/>
    <w:rsid w:val="00776048"/>
    <w:rsid w:val="007777A2"/>
    <w:rsid w:val="00777E8E"/>
    <w:rsid w:val="00781178"/>
    <w:rsid w:val="00781DD1"/>
    <w:rsid w:val="007820C1"/>
    <w:rsid w:val="007828FE"/>
    <w:rsid w:val="0078594D"/>
    <w:rsid w:val="0078701F"/>
    <w:rsid w:val="00787C53"/>
    <w:rsid w:val="00790874"/>
    <w:rsid w:val="00790B31"/>
    <w:rsid w:val="00791B32"/>
    <w:rsid w:val="007939EC"/>
    <w:rsid w:val="00793CBA"/>
    <w:rsid w:val="00793D0F"/>
    <w:rsid w:val="0079429A"/>
    <w:rsid w:val="0079508D"/>
    <w:rsid w:val="0079647B"/>
    <w:rsid w:val="007A09BB"/>
    <w:rsid w:val="007A0F2F"/>
    <w:rsid w:val="007A243C"/>
    <w:rsid w:val="007A3494"/>
    <w:rsid w:val="007A5E0C"/>
    <w:rsid w:val="007A6BC6"/>
    <w:rsid w:val="007A6F5A"/>
    <w:rsid w:val="007B0230"/>
    <w:rsid w:val="007B0C42"/>
    <w:rsid w:val="007B1966"/>
    <w:rsid w:val="007B31D9"/>
    <w:rsid w:val="007B4672"/>
    <w:rsid w:val="007B68D7"/>
    <w:rsid w:val="007C0E7C"/>
    <w:rsid w:val="007C0FB6"/>
    <w:rsid w:val="007C220C"/>
    <w:rsid w:val="007C4ABB"/>
    <w:rsid w:val="007C5070"/>
    <w:rsid w:val="007C5B5D"/>
    <w:rsid w:val="007C66D8"/>
    <w:rsid w:val="007C6AE4"/>
    <w:rsid w:val="007C6D97"/>
    <w:rsid w:val="007C6E24"/>
    <w:rsid w:val="007D14C3"/>
    <w:rsid w:val="007D1852"/>
    <w:rsid w:val="007D2E19"/>
    <w:rsid w:val="007D4231"/>
    <w:rsid w:val="007D4497"/>
    <w:rsid w:val="007D45D8"/>
    <w:rsid w:val="007D5EF3"/>
    <w:rsid w:val="007E0334"/>
    <w:rsid w:val="007E0CFD"/>
    <w:rsid w:val="007E265C"/>
    <w:rsid w:val="007E36D0"/>
    <w:rsid w:val="007E41EE"/>
    <w:rsid w:val="007E478D"/>
    <w:rsid w:val="007E6602"/>
    <w:rsid w:val="007E71D0"/>
    <w:rsid w:val="007F060F"/>
    <w:rsid w:val="007F369A"/>
    <w:rsid w:val="007F451F"/>
    <w:rsid w:val="007F59AD"/>
    <w:rsid w:val="007F73AD"/>
    <w:rsid w:val="008000AB"/>
    <w:rsid w:val="0080091E"/>
    <w:rsid w:val="008010BA"/>
    <w:rsid w:val="00801AA4"/>
    <w:rsid w:val="00803106"/>
    <w:rsid w:val="008053D2"/>
    <w:rsid w:val="008054D5"/>
    <w:rsid w:val="00805B87"/>
    <w:rsid w:val="00805CF8"/>
    <w:rsid w:val="008063C7"/>
    <w:rsid w:val="00806AA5"/>
    <w:rsid w:val="00812C14"/>
    <w:rsid w:val="00813029"/>
    <w:rsid w:val="00813175"/>
    <w:rsid w:val="00814AB0"/>
    <w:rsid w:val="008150D0"/>
    <w:rsid w:val="00815159"/>
    <w:rsid w:val="008200B7"/>
    <w:rsid w:val="008205CD"/>
    <w:rsid w:val="00821350"/>
    <w:rsid w:val="00823211"/>
    <w:rsid w:val="00823FF9"/>
    <w:rsid w:val="00825E79"/>
    <w:rsid w:val="00827C56"/>
    <w:rsid w:val="00831A3C"/>
    <w:rsid w:val="00831F42"/>
    <w:rsid w:val="00832537"/>
    <w:rsid w:val="008340D8"/>
    <w:rsid w:val="00834484"/>
    <w:rsid w:val="008347B1"/>
    <w:rsid w:val="00834C6C"/>
    <w:rsid w:val="00834CC0"/>
    <w:rsid w:val="00834DE9"/>
    <w:rsid w:val="00840BDE"/>
    <w:rsid w:val="008410FB"/>
    <w:rsid w:val="008412EF"/>
    <w:rsid w:val="00841F59"/>
    <w:rsid w:val="00842977"/>
    <w:rsid w:val="00843574"/>
    <w:rsid w:val="008452C2"/>
    <w:rsid w:val="008456B2"/>
    <w:rsid w:val="00845C6F"/>
    <w:rsid w:val="00845FC6"/>
    <w:rsid w:val="00846863"/>
    <w:rsid w:val="0085062D"/>
    <w:rsid w:val="00850AEE"/>
    <w:rsid w:val="0085145D"/>
    <w:rsid w:val="008544F6"/>
    <w:rsid w:val="008557BB"/>
    <w:rsid w:val="00856D5A"/>
    <w:rsid w:val="00860C13"/>
    <w:rsid w:val="00861276"/>
    <w:rsid w:val="00861A60"/>
    <w:rsid w:val="008626E8"/>
    <w:rsid w:val="00863154"/>
    <w:rsid w:val="008636DB"/>
    <w:rsid w:val="00863E9F"/>
    <w:rsid w:val="00866E77"/>
    <w:rsid w:val="00867983"/>
    <w:rsid w:val="00867D7C"/>
    <w:rsid w:val="008710D0"/>
    <w:rsid w:val="008729F6"/>
    <w:rsid w:val="008741A6"/>
    <w:rsid w:val="0087446F"/>
    <w:rsid w:val="0087498B"/>
    <w:rsid w:val="00874BEE"/>
    <w:rsid w:val="0087530F"/>
    <w:rsid w:val="008777D7"/>
    <w:rsid w:val="008814D3"/>
    <w:rsid w:val="00881E93"/>
    <w:rsid w:val="00882278"/>
    <w:rsid w:val="00882EAF"/>
    <w:rsid w:val="00883EB8"/>
    <w:rsid w:val="0088508B"/>
    <w:rsid w:val="008858A2"/>
    <w:rsid w:val="008861DC"/>
    <w:rsid w:val="00886C2E"/>
    <w:rsid w:val="008870E0"/>
    <w:rsid w:val="00887C47"/>
    <w:rsid w:val="0089032F"/>
    <w:rsid w:val="008908A4"/>
    <w:rsid w:val="00891A88"/>
    <w:rsid w:val="0089449F"/>
    <w:rsid w:val="00896682"/>
    <w:rsid w:val="008A019D"/>
    <w:rsid w:val="008A21AB"/>
    <w:rsid w:val="008A2914"/>
    <w:rsid w:val="008A2CD2"/>
    <w:rsid w:val="008A3517"/>
    <w:rsid w:val="008A47B3"/>
    <w:rsid w:val="008A4BE5"/>
    <w:rsid w:val="008A5BD4"/>
    <w:rsid w:val="008A6D52"/>
    <w:rsid w:val="008A77F8"/>
    <w:rsid w:val="008B0349"/>
    <w:rsid w:val="008B0607"/>
    <w:rsid w:val="008B16D6"/>
    <w:rsid w:val="008B2CC8"/>
    <w:rsid w:val="008B3438"/>
    <w:rsid w:val="008B7119"/>
    <w:rsid w:val="008B748F"/>
    <w:rsid w:val="008B759B"/>
    <w:rsid w:val="008C3D40"/>
    <w:rsid w:val="008C4888"/>
    <w:rsid w:val="008C6F1B"/>
    <w:rsid w:val="008C6FF4"/>
    <w:rsid w:val="008C7A4C"/>
    <w:rsid w:val="008D0EB0"/>
    <w:rsid w:val="008D5FCD"/>
    <w:rsid w:val="008D66C4"/>
    <w:rsid w:val="008E1BD8"/>
    <w:rsid w:val="008E2057"/>
    <w:rsid w:val="008E351A"/>
    <w:rsid w:val="008E4DB1"/>
    <w:rsid w:val="008E56D8"/>
    <w:rsid w:val="008E6CDF"/>
    <w:rsid w:val="008E73B5"/>
    <w:rsid w:val="008E78B8"/>
    <w:rsid w:val="008F007D"/>
    <w:rsid w:val="008F46CF"/>
    <w:rsid w:val="008F6047"/>
    <w:rsid w:val="008F6899"/>
    <w:rsid w:val="008F7B73"/>
    <w:rsid w:val="009000FA"/>
    <w:rsid w:val="00901375"/>
    <w:rsid w:val="00901A3C"/>
    <w:rsid w:val="0090209E"/>
    <w:rsid w:val="00904E8A"/>
    <w:rsid w:val="009055A1"/>
    <w:rsid w:val="00911F2D"/>
    <w:rsid w:val="009125DA"/>
    <w:rsid w:val="0091574D"/>
    <w:rsid w:val="009168F8"/>
    <w:rsid w:val="00917510"/>
    <w:rsid w:val="009209A0"/>
    <w:rsid w:val="0092346E"/>
    <w:rsid w:val="0092455C"/>
    <w:rsid w:val="00924C30"/>
    <w:rsid w:val="00925466"/>
    <w:rsid w:val="0092569C"/>
    <w:rsid w:val="00926348"/>
    <w:rsid w:val="009265BA"/>
    <w:rsid w:val="009268A5"/>
    <w:rsid w:val="00927D41"/>
    <w:rsid w:val="009324D4"/>
    <w:rsid w:val="00933195"/>
    <w:rsid w:val="00934994"/>
    <w:rsid w:val="00935C49"/>
    <w:rsid w:val="0093635F"/>
    <w:rsid w:val="00937414"/>
    <w:rsid w:val="00943F4F"/>
    <w:rsid w:val="00944370"/>
    <w:rsid w:val="0094443A"/>
    <w:rsid w:val="00944EF6"/>
    <w:rsid w:val="009460AC"/>
    <w:rsid w:val="00950A3D"/>
    <w:rsid w:val="009521FB"/>
    <w:rsid w:val="00952BDA"/>
    <w:rsid w:val="009539D7"/>
    <w:rsid w:val="0095414A"/>
    <w:rsid w:val="00954205"/>
    <w:rsid w:val="00956E47"/>
    <w:rsid w:val="00956EB9"/>
    <w:rsid w:val="00957E26"/>
    <w:rsid w:val="0096089B"/>
    <w:rsid w:val="00960D24"/>
    <w:rsid w:val="009623AD"/>
    <w:rsid w:val="00963786"/>
    <w:rsid w:val="00965EB5"/>
    <w:rsid w:val="009666AA"/>
    <w:rsid w:val="00972BFE"/>
    <w:rsid w:val="00973518"/>
    <w:rsid w:val="00973776"/>
    <w:rsid w:val="009749CB"/>
    <w:rsid w:val="00974A0A"/>
    <w:rsid w:val="00975377"/>
    <w:rsid w:val="00976F05"/>
    <w:rsid w:val="009816E7"/>
    <w:rsid w:val="009821F5"/>
    <w:rsid w:val="0098230D"/>
    <w:rsid w:val="009831AF"/>
    <w:rsid w:val="0098330C"/>
    <w:rsid w:val="009840CE"/>
    <w:rsid w:val="00984E2B"/>
    <w:rsid w:val="009875CC"/>
    <w:rsid w:val="00987B12"/>
    <w:rsid w:val="009905DA"/>
    <w:rsid w:val="00991198"/>
    <w:rsid w:val="009911E7"/>
    <w:rsid w:val="00991F6D"/>
    <w:rsid w:val="00992AB2"/>
    <w:rsid w:val="0099429A"/>
    <w:rsid w:val="00994DAA"/>
    <w:rsid w:val="00996168"/>
    <w:rsid w:val="009976A1"/>
    <w:rsid w:val="00997B6C"/>
    <w:rsid w:val="00997F4C"/>
    <w:rsid w:val="009A0F85"/>
    <w:rsid w:val="009A1AD6"/>
    <w:rsid w:val="009A2838"/>
    <w:rsid w:val="009A2B0A"/>
    <w:rsid w:val="009A3172"/>
    <w:rsid w:val="009A462A"/>
    <w:rsid w:val="009A4F60"/>
    <w:rsid w:val="009A7012"/>
    <w:rsid w:val="009B0A70"/>
    <w:rsid w:val="009B1101"/>
    <w:rsid w:val="009B184D"/>
    <w:rsid w:val="009B23C4"/>
    <w:rsid w:val="009B23FD"/>
    <w:rsid w:val="009B245F"/>
    <w:rsid w:val="009B2A3A"/>
    <w:rsid w:val="009B46DB"/>
    <w:rsid w:val="009B5AF1"/>
    <w:rsid w:val="009B6812"/>
    <w:rsid w:val="009B6D6F"/>
    <w:rsid w:val="009B73F0"/>
    <w:rsid w:val="009C0AE7"/>
    <w:rsid w:val="009C233F"/>
    <w:rsid w:val="009C2B43"/>
    <w:rsid w:val="009C4213"/>
    <w:rsid w:val="009C5585"/>
    <w:rsid w:val="009C58B3"/>
    <w:rsid w:val="009C63F4"/>
    <w:rsid w:val="009C64AE"/>
    <w:rsid w:val="009C7213"/>
    <w:rsid w:val="009C78E4"/>
    <w:rsid w:val="009D1951"/>
    <w:rsid w:val="009D1DDA"/>
    <w:rsid w:val="009D20DE"/>
    <w:rsid w:val="009D2377"/>
    <w:rsid w:val="009D389F"/>
    <w:rsid w:val="009D483F"/>
    <w:rsid w:val="009D5B08"/>
    <w:rsid w:val="009D61B7"/>
    <w:rsid w:val="009E04E7"/>
    <w:rsid w:val="009E0B85"/>
    <w:rsid w:val="009E0DB3"/>
    <w:rsid w:val="009E0F74"/>
    <w:rsid w:val="009E1552"/>
    <w:rsid w:val="009E26F4"/>
    <w:rsid w:val="009E5D34"/>
    <w:rsid w:val="009E600A"/>
    <w:rsid w:val="009E72EA"/>
    <w:rsid w:val="009F02C5"/>
    <w:rsid w:val="009F0F46"/>
    <w:rsid w:val="009F0F79"/>
    <w:rsid w:val="009F2D7B"/>
    <w:rsid w:val="009F5108"/>
    <w:rsid w:val="009F53EF"/>
    <w:rsid w:val="009F561D"/>
    <w:rsid w:val="009F795B"/>
    <w:rsid w:val="00A005A0"/>
    <w:rsid w:val="00A0193F"/>
    <w:rsid w:val="00A01C61"/>
    <w:rsid w:val="00A0269E"/>
    <w:rsid w:val="00A0566B"/>
    <w:rsid w:val="00A07FD3"/>
    <w:rsid w:val="00A108F0"/>
    <w:rsid w:val="00A11F66"/>
    <w:rsid w:val="00A12D9B"/>
    <w:rsid w:val="00A134E5"/>
    <w:rsid w:val="00A139F1"/>
    <w:rsid w:val="00A13CCB"/>
    <w:rsid w:val="00A1552F"/>
    <w:rsid w:val="00A15822"/>
    <w:rsid w:val="00A15B77"/>
    <w:rsid w:val="00A166A8"/>
    <w:rsid w:val="00A176EB"/>
    <w:rsid w:val="00A21151"/>
    <w:rsid w:val="00A228B9"/>
    <w:rsid w:val="00A23622"/>
    <w:rsid w:val="00A251C0"/>
    <w:rsid w:val="00A30D3F"/>
    <w:rsid w:val="00A353A4"/>
    <w:rsid w:val="00A3555A"/>
    <w:rsid w:val="00A37D4B"/>
    <w:rsid w:val="00A40ECB"/>
    <w:rsid w:val="00A41156"/>
    <w:rsid w:val="00A41FBB"/>
    <w:rsid w:val="00A43445"/>
    <w:rsid w:val="00A44908"/>
    <w:rsid w:val="00A4497A"/>
    <w:rsid w:val="00A44C6A"/>
    <w:rsid w:val="00A455D1"/>
    <w:rsid w:val="00A46137"/>
    <w:rsid w:val="00A466E4"/>
    <w:rsid w:val="00A50313"/>
    <w:rsid w:val="00A50598"/>
    <w:rsid w:val="00A506B3"/>
    <w:rsid w:val="00A51E58"/>
    <w:rsid w:val="00A53A61"/>
    <w:rsid w:val="00A547CF"/>
    <w:rsid w:val="00A5658F"/>
    <w:rsid w:val="00A56749"/>
    <w:rsid w:val="00A56C2B"/>
    <w:rsid w:val="00A571C8"/>
    <w:rsid w:val="00A57DA9"/>
    <w:rsid w:val="00A57FC9"/>
    <w:rsid w:val="00A61A0C"/>
    <w:rsid w:val="00A61E9D"/>
    <w:rsid w:val="00A648C5"/>
    <w:rsid w:val="00A649F4"/>
    <w:rsid w:val="00A64A87"/>
    <w:rsid w:val="00A65AF1"/>
    <w:rsid w:val="00A669A7"/>
    <w:rsid w:val="00A67440"/>
    <w:rsid w:val="00A70E88"/>
    <w:rsid w:val="00A7136F"/>
    <w:rsid w:val="00A71BCF"/>
    <w:rsid w:val="00A75273"/>
    <w:rsid w:val="00A7552D"/>
    <w:rsid w:val="00A836AD"/>
    <w:rsid w:val="00A86078"/>
    <w:rsid w:val="00A90E3B"/>
    <w:rsid w:val="00A92123"/>
    <w:rsid w:val="00A93171"/>
    <w:rsid w:val="00A93847"/>
    <w:rsid w:val="00A963CE"/>
    <w:rsid w:val="00A97401"/>
    <w:rsid w:val="00AA10DE"/>
    <w:rsid w:val="00AA17C4"/>
    <w:rsid w:val="00AA4D91"/>
    <w:rsid w:val="00AA5850"/>
    <w:rsid w:val="00AA6E96"/>
    <w:rsid w:val="00AA7547"/>
    <w:rsid w:val="00AA79AB"/>
    <w:rsid w:val="00AA7A68"/>
    <w:rsid w:val="00AB2099"/>
    <w:rsid w:val="00AB2574"/>
    <w:rsid w:val="00AB2F56"/>
    <w:rsid w:val="00AB40E3"/>
    <w:rsid w:val="00AB4ADD"/>
    <w:rsid w:val="00AB68CE"/>
    <w:rsid w:val="00AB6A82"/>
    <w:rsid w:val="00AB72F1"/>
    <w:rsid w:val="00AB7F7F"/>
    <w:rsid w:val="00AC0B9C"/>
    <w:rsid w:val="00AC3BF6"/>
    <w:rsid w:val="00AC3FB5"/>
    <w:rsid w:val="00AC4B95"/>
    <w:rsid w:val="00AC6C42"/>
    <w:rsid w:val="00AC7136"/>
    <w:rsid w:val="00AD3F60"/>
    <w:rsid w:val="00AD4538"/>
    <w:rsid w:val="00AD4E07"/>
    <w:rsid w:val="00AD681C"/>
    <w:rsid w:val="00AE0049"/>
    <w:rsid w:val="00AE1528"/>
    <w:rsid w:val="00AE15D9"/>
    <w:rsid w:val="00AE20E8"/>
    <w:rsid w:val="00AE515C"/>
    <w:rsid w:val="00AE541B"/>
    <w:rsid w:val="00AE544D"/>
    <w:rsid w:val="00AE55D9"/>
    <w:rsid w:val="00AE708F"/>
    <w:rsid w:val="00AF0950"/>
    <w:rsid w:val="00AF4041"/>
    <w:rsid w:val="00AF4198"/>
    <w:rsid w:val="00AF5950"/>
    <w:rsid w:val="00AF636E"/>
    <w:rsid w:val="00AF6701"/>
    <w:rsid w:val="00AF6AC2"/>
    <w:rsid w:val="00B00A01"/>
    <w:rsid w:val="00B0224A"/>
    <w:rsid w:val="00B026D3"/>
    <w:rsid w:val="00B03215"/>
    <w:rsid w:val="00B034E4"/>
    <w:rsid w:val="00B06090"/>
    <w:rsid w:val="00B07F44"/>
    <w:rsid w:val="00B13600"/>
    <w:rsid w:val="00B15D7B"/>
    <w:rsid w:val="00B17B30"/>
    <w:rsid w:val="00B24724"/>
    <w:rsid w:val="00B251B4"/>
    <w:rsid w:val="00B26498"/>
    <w:rsid w:val="00B27291"/>
    <w:rsid w:val="00B276AC"/>
    <w:rsid w:val="00B309AC"/>
    <w:rsid w:val="00B31F29"/>
    <w:rsid w:val="00B33AF5"/>
    <w:rsid w:val="00B350A9"/>
    <w:rsid w:val="00B353D0"/>
    <w:rsid w:val="00B35C2A"/>
    <w:rsid w:val="00B369D6"/>
    <w:rsid w:val="00B407D1"/>
    <w:rsid w:val="00B41665"/>
    <w:rsid w:val="00B425FC"/>
    <w:rsid w:val="00B4294D"/>
    <w:rsid w:val="00B439A7"/>
    <w:rsid w:val="00B43E5B"/>
    <w:rsid w:val="00B44E9E"/>
    <w:rsid w:val="00B45734"/>
    <w:rsid w:val="00B471F8"/>
    <w:rsid w:val="00B5146B"/>
    <w:rsid w:val="00B523D6"/>
    <w:rsid w:val="00B5284A"/>
    <w:rsid w:val="00B542AE"/>
    <w:rsid w:val="00B571FF"/>
    <w:rsid w:val="00B60C91"/>
    <w:rsid w:val="00B60E04"/>
    <w:rsid w:val="00B614F7"/>
    <w:rsid w:val="00B61808"/>
    <w:rsid w:val="00B621D1"/>
    <w:rsid w:val="00B624B3"/>
    <w:rsid w:val="00B645AF"/>
    <w:rsid w:val="00B66100"/>
    <w:rsid w:val="00B70624"/>
    <w:rsid w:val="00B71199"/>
    <w:rsid w:val="00B72FB1"/>
    <w:rsid w:val="00B73FA8"/>
    <w:rsid w:val="00B74843"/>
    <w:rsid w:val="00B75550"/>
    <w:rsid w:val="00B757E4"/>
    <w:rsid w:val="00B75BE3"/>
    <w:rsid w:val="00B75D46"/>
    <w:rsid w:val="00B773BC"/>
    <w:rsid w:val="00B7797D"/>
    <w:rsid w:val="00B80A0E"/>
    <w:rsid w:val="00B824B9"/>
    <w:rsid w:val="00B82898"/>
    <w:rsid w:val="00B83E78"/>
    <w:rsid w:val="00B84FE7"/>
    <w:rsid w:val="00B8500D"/>
    <w:rsid w:val="00B85650"/>
    <w:rsid w:val="00B9008A"/>
    <w:rsid w:val="00B903EF"/>
    <w:rsid w:val="00B90E39"/>
    <w:rsid w:val="00B91BB9"/>
    <w:rsid w:val="00B92511"/>
    <w:rsid w:val="00B92A57"/>
    <w:rsid w:val="00B93E5E"/>
    <w:rsid w:val="00B93F93"/>
    <w:rsid w:val="00B95E17"/>
    <w:rsid w:val="00B9610C"/>
    <w:rsid w:val="00B9729C"/>
    <w:rsid w:val="00BA0A84"/>
    <w:rsid w:val="00BA0ADC"/>
    <w:rsid w:val="00BA26BB"/>
    <w:rsid w:val="00BA365E"/>
    <w:rsid w:val="00BA3767"/>
    <w:rsid w:val="00BA6DBA"/>
    <w:rsid w:val="00BA7072"/>
    <w:rsid w:val="00BB0AB3"/>
    <w:rsid w:val="00BB0D6A"/>
    <w:rsid w:val="00BB302F"/>
    <w:rsid w:val="00BB3EE9"/>
    <w:rsid w:val="00BB4052"/>
    <w:rsid w:val="00BB432B"/>
    <w:rsid w:val="00BB5091"/>
    <w:rsid w:val="00BB5724"/>
    <w:rsid w:val="00BB694C"/>
    <w:rsid w:val="00BC0DE0"/>
    <w:rsid w:val="00BC0EE8"/>
    <w:rsid w:val="00BC14AB"/>
    <w:rsid w:val="00BC2B83"/>
    <w:rsid w:val="00BC4BFF"/>
    <w:rsid w:val="00BC51F2"/>
    <w:rsid w:val="00BC5A5C"/>
    <w:rsid w:val="00BC7DE2"/>
    <w:rsid w:val="00BD1218"/>
    <w:rsid w:val="00BD123A"/>
    <w:rsid w:val="00BD167A"/>
    <w:rsid w:val="00BD17A5"/>
    <w:rsid w:val="00BD3FFD"/>
    <w:rsid w:val="00BD439A"/>
    <w:rsid w:val="00BD4638"/>
    <w:rsid w:val="00BD7299"/>
    <w:rsid w:val="00BD7874"/>
    <w:rsid w:val="00BE1011"/>
    <w:rsid w:val="00BE155D"/>
    <w:rsid w:val="00BE16CB"/>
    <w:rsid w:val="00BE1B32"/>
    <w:rsid w:val="00BE40BB"/>
    <w:rsid w:val="00BE489E"/>
    <w:rsid w:val="00BE5729"/>
    <w:rsid w:val="00BE7BA6"/>
    <w:rsid w:val="00BF098B"/>
    <w:rsid w:val="00BF0D20"/>
    <w:rsid w:val="00BF2333"/>
    <w:rsid w:val="00BF2638"/>
    <w:rsid w:val="00BF321D"/>
    <w:rsid w:val="00BF3E96"/>
    <w:rsid w:val="00BF3FBC"/>
    <w:rsid w:val="00BF4307"/>
    <w:rsid w:val="00BF5083"/>
    <w:rsid w:val="00BF5735"/>
    <w:rsid w:val="00BF616F"/>
    <w:rsid w:val="00BF779D"/>
    <w:rsid w:val="00C0156E"/>
    <w:rsid w:val="00C0176C"/>
    <w:rsid w:val="00C02A45"/>
    <w:rsid w:val="00C05A44"/>
    <w:rsid w:val="00C06616"/>
    <w:rsid w:val="00C070E6"/>
    <w:rsid w:val="00C0738F"/>
    <w:rsid w:val="00C07971"/>
    <w:rsid w:val="00C07C6A"/>
    <w:rsid w:val="00C102CC"/>
    <w:rsid w:val="00C105BB"/>
    <w:rsid w:val="00C10BD9"/>
    <w:rsid w:val="00C11B24"/>
    <w:rsid w:val="00C14453"/>
    <w:rsid w:val="00C15F72"/>
    <w:rsid w:val="00C178E8"/>
    <w:rsid w:val="00C17CE0"/>
    <w:rsid w:val="00C17F6A"/>
    <w:rsid w:val="00C20019"/>
    <w:rsid w:val="00C20C27"/>
    <w:rsid w:val="00C22076"/>
    <w:rsid w:val="00C22486"/>
    <w:rsid w:val="00C22B03"/>
    <w:rsid w:val="00C24B0A"/>
    <w:rsid w:val="00C31B42"/>
    <w:rsid w:val="00C33C88"/>
    <w:rsid w:val="00C35F7F"/>
    <w:rsid w:val="00C37B0F"/>
    <w:rsid w:val="00C37C49"/>
    <w:rsid w:val="00C4171C"/>
    <w:rsid w:val="00C4325D"/>
    <w:rsid w:val="00C439EA"/>
    <w:rsid w:val="00C4492E"/>
    <w:rsid w:val="00C4560B"/>
    <w:rsid w:val="00C45BFE"/>
    <w:rsid w:val="00C462F7"/>
    <w:rsid w:val="00C47DCF"/>
    <w:rsid w:val="00C51EDD"/>
    <w:rsid w:val="00C529D7"/>
    <w:rsid w:val="00C53425"/>
    <w:rsid w:val="00C54C56"/>
    <w:rsid w:val="00C6012D"/>
    <w:rsid w:val="00C60222"/>
    <w:rsid w:val="00C65075"/>
    <w:rsid w:val="00C6693F"/>
    <w:rsid w:val="00C66B83"/>
    <w:rsid w:val="00C66D06"/>
    <w:rsid w:val="00C700B7"/>
    <w:rsid w:val="00C70179"/>
    <w:rsid w:val="00C710CD"/>
    <w:rsid w:val="00C7210E"/>
    <w:rsid w:val="00C73C9E"/>
    <w:rsid w:val="00C75B92"/>
    <w:rsid w:val="00C76017"/>
    <w:rsid w:val="00C76A0A"/>
    <w:rsid w:val="00C816BF"/>
    <w:rsid w:val="00C81D09"/>
    <w:rsid w:val="00C81F80"/>
    <w:rsid w:val="00C82E63"/>
    <w:rsid w:val="00C839D3"/>
    <w:rsid w:val="00C849DC"/>
    <w:rsid w:val="00C85DB3"/>
    <w:rsid w:val="00C86281"/>
    <w:rsid w:val="00C86ABA"/>
    <w:rsid w:val="00C87F9A"/>
    <w:rsid w:val="00C91E46"/>
    <w:rsid w:val="00C92FCC"/>
    <w:rsid w:val="00C93159"/>
    <w:rsid w:val="00C93F8B"/>
    <w:rsid w:val="00C948FD"/>
    <w:rsid w:val="00C949D2"/>
    <w:rsid w:val="00C94E71"/>
    <w:rsid w:val="00C96469"/>
    <w:rsid w:val="00C9765E"/>
    <w:rsid w:val="00CA0BAF"/>
    <w:rsid w:val="00CA0D4B"/>
    <w:rsid w:val="00CA3CE2"/>
    <w:rsid w:val="00CA4120"/>
    <w:rsid w:val="00CA5EC2"/>
    <w:rsid w:val="00CA64D6"/>
    <w:rsid w:val="00CA6BFC"/>
    <w:rsid w:val="00CA7BBF"/>
    <w:rsid w:val="00CB109A"/>
    <w:rsid w:val="00CB231B"/>
    <w:rsid w:val="00CB382B"/>
    <w:rsid w:val="00CB54A2"/>
    <w:rsid w:val="00CB7D39"/>
    <w:rsid w:val="00CC22C1"/>
    <w:rsid w:val="00CC7034"/>
    <w:rsid w:val="00CD12A6"/>
    <w:rsid w:val="00CD293A"/>
    <w:rsid w:val="00CD47E1"/>
    <w:rsid w:val="00CD77E5"/>
    <w:rsid w:val="00CE10F1"/>
    <w:rsid w:val="00CE377A"/>
    <w:rsid w:val="00CE3EE8"/>
    <w:rsid w:val="00CE4092"/>
    <w:rsid w:val="00CE473E"/>
    <w:rsid w:val="00CE65DD"/>
    <w:rsid w:val="00CE7A45"/>
    <w:rsid w:val="00CF00D0"/>
    <w:rsid w:val="00CF2C94"/>
    <w:rsid w:val="00CF338E"/>
    <w:rsid w:val="00CF4715"/>
    <w:rsid w:val="00CF5872"/>
    <w:rsid w:val="00CF58C6"/>
    <w:rsid w:val="00CF61DA"/>
    <w:rsid w:val="00D006B9"/>
    <w:rsid w:val="00D00A97"/>
    <w:rsid w:val="00D011D4"/>
    <w:rsid w:val="00D0259B"/>
    <w:rsid w:val="00D03BE1"/>
    <w:rsid w:val="00D04A2B"/>
    <w:rsid w:val="00D0525E"/>
    <w:rsid w:val="00D06470"/>
    <w:rsid w:val="00D06D3D"/>
    <w:rsid w:val="00D06EDD"/>
    <w:rsid w:val="00D11548"/>
    <w:rsid w:val="00D128D9"/>
    <w:rsid w:val="00D15EF4"/>
    <w:rsid w:val="00D16BB0"/>
    <w:rsid w:val="00D17353"/>
    <w:rsid w:val="00D179C1"/>
    <w:rsid w:val="00D21A66"/>
    <w:rsid w:val="00D22622"/>
    <w:rsid w:val="00D227F7"/>
    <w:rsid w:val="00D2380C"/>
    <w:rsid w:val="00D24A96"/>
    <w:rsid w:val="00D2655A"/>
    <w:rsid w:val="00D265DE"/>
    <w:rsid w:val="00D272A3"/>
    <w:rsid w:val="00D308F2"/>
    <w:rsid w:val="00D3138F"/>
    <w:rsid w:val="00D33384"/>
    <w:rsid w:val="00D33C09"/>
    <w:rsid w:val="00D34050"/>
    <w:rsid w:val="00D345CE"/>
    <w:rsid w:val="00D348F2"/>
    <w:rsid w:val="00D35B63"/>
    <w:rsid w:val="00D4096B"/>
    <w:rsid w:val="00D418A0"/>
    <w:rsid w:val="00D425B7"/>
    <w:rsid w:val="00D42D5E"/>
    <w:rsid w:val="00D43D6A"/>
    <w:rsid w:val="00D440F1"/>
    <w:rsid w:val="00D442A1"/>
    <w:rsid w:val="00D460F4"/>
    <w:rsid w:val="00D47279"/>
    <w:rsid w:val="00D47798"/>
    <w:rsid w:val="00D500E1"/>
    <w:rsid w:val="00D5100D"/>
    <w:rsid w:val="00D51A64"/>
    <w:rsid w:val="00D53163"/>
    <w:rsid w:val="00D5346A"/>
    <w:rsid w:val="00D53F0A"/>
    <w:rsid w:val="00D54E80"/>
    <w:rsid w:val="00D5581E"/>
    <w:rsid w:val="00D55B4A"/>
    <w:rsid w:val="00D566BD"/>
    <w:rsid w:val="00D613FB"/>
    <w:rsid w:val="00D61493"/>
    <w:rsid w:val="00D618D3"/>
    <w:rsid w:val="00D62F87"/>
    <w:rsid w:val="00D64962"/>
    <w:rsid w:val="00D64AAC"/>
    <w:rsid w:val="00D65778"/>
    <w:rsid w:val="00D667ED"/>
    <w:rsid w:val="00D673AA"/>
    <w:rsid w:val="00D70E0E"/>
    <w:rsid w:val="00D71702"/>
    <w:rsid w:val="00D718EB"/>
    <w:rsid w:val="00D7201E"/>
    <w:rsid w:val="00D7381B"/>
    <w:rsid w:val="00D739F3"/>
    <w:rsid w:val="00D73FE5"/>
    <w:rsid w:val="00D74557"/>
    <w:rsid w:val="00D755D2"/>
    <w:rsid w:val="00D772AA"/>
    <w:rsid w:val="00D8071A"/>
    <w:rsid w:val="00D81924"/>
    <w:rsid w:val="00D83310"/>
    <w:rsid w:val="00D86840"/>
    <w:rsid w:val="00D86E4A"/>
    <w:rsid w:val="00D86EE1"/>
    <w:rsid w:val="00D90E05"/>
    <w:rsid w:val="00D92EA5"/>
    <w:rsid w:val="00D93E48"/>
    <w:rsid w:val="00D93E81"/>
    <w:rsid w:val="00DA0B33"/>
    <w:rsid w:val="00DA1FE4"/>
    <w:rsid w:val="00DA2F3A"/>
    <w:rsid w:val="00DA5A49"/>
    <w:rsid w:val="00DB0631"/>
    <w:rsid w:val="00DB2091"/>
    <w:rsid w:val="00DB5E0C"/>
    <w:rsid w:val="00DB6BF6"/>
    <w:rsid w:val="00DB79DC"/>
    <w:rsid w:val="00DB7BFF"/>
    <w:rsid w:val="00DC25BE"/>
    <w:rsid w:val="00DC278F"/>
    <w:rsid w:val="00DC4330"/>
    <w:rsid w:val="00DC5FA6"/>
    <w:rsid w:val="00DC66AD"/>
    <w:rsid w:val="00DC68DC"/>
    <w:rsid w:val="00DD01BA"/>
    <w:rsid w:val="00DD0C22"/>
    <w:rsid w:val="00DD1DB1"/>
    <w:rsid w:val="00DD28DC"/>
    <w:rsid w:val="00DD3D75"/>
    <w:rsid w:val="00DD4164"/>
    <w:rsid w:val="00DD4D22"/>
    <w:rsid w:val="00DD4E3F"/>
    <w:rsid w:val="00DD576E"/>
    <w:rsid w:val="00DE4749"/>
    <w:rsid w:val="00DF083D"/>
    <w:rsid w:val="00DF31EA"/>
    <w:rsid w:val="00DF3918"/>
    <w:rsid w:val="00DF45B6"/>
    <w:rsid w:val="00DF5A40"/>
    <w:rsid w:val="00DF5BAB"/>
    <w:rsid w:val="00DF5E25"/>
    <w:rsid w:val="00DF74BA"/>
    <w:rsid w:val="00E02539"/>
    <w:rsid w:val="00E03F6F"/>
    <w:rsid w:val="00E0405A"/>
    <w:rsid w:val="00E11F25"/>
    <w:rsid w:val="00E12775"/>
    <w:rsid w:val="00E12997"/>
    <w:rsid w:val="00E129A5"/>
    <w:rsid w:val="00E15AC5"/>
    <w:rsid w:val="00E1621F"/>
    <w:rsid w:val="00E20FD4"/>
    <w:rsid w:val="00E23AF9"/>
    <w:rsid w:val="00E25071"/>
    <w:rsid w:val="00E27631"/>
    <w:rsid w:val="00E30ADA"/>
    <w:rsid w:val="00E321D5"/>
    <w:rsid w:val="00E32E33"/>
    <w:rsid w:val="00E33547"/>
    <w:rsid w:val="00E33794"/>
    <w:rsid w:val="00E34570"/>
    <w:rsid w:val="00E40A74"/>
    <w:rsid w:val="00E40EEC"/>
    <w:rsid w:val="00E41F1C"/>
    <w:rsid w:val="00E45FFD"/>
    <w:rsid w:val="00E4729F"/>
    <w:rsid w:val="00E52EF2"/>
    <w:rsid w:val="00E5324B"/>
    <w:rsid w:val="00E54A60"/>
    <w:rsid w:val="00E55467"/>
    <w:rsid w:val="00E57CEB"/>
    <w:rsid w:val="00E60143"/>
    <w:rsid w:val="00E60172"/>
    <w:rsid w:val="00E60E8F"/>
    <w:rsid w:val="00E64265"/>
    <w:rsid w:val="00E723B7"/>
    <w:rsid w:val="00E72587"/>
    <w:rsid w:val="00E72CD2"/>
    <w:rsid w:val="00E73B80"/>
    <w:rsid w:val="00E74273"/>
    <w:rsid w:val="00E74AD3"/>
    <w:rsid w:val="00E74C26"/>
    <w:rsid w:val="00E750DE"/>
    <w:rsid w:val="00E764A4"/>
    <w:rsid w:val="00E76FD5"/>
    <w:rsid w:val="00E771F3"/>
    <w:rsid w:val="00E77A80"/>
    <w:rsid w:val="00E809CB"/>
    <w:rsid w:val="00E80C67"/>
    <w:rsid w:val="00E816CE"/>
    <w:rsid w:val="00E81757"/>
    <w:rsid w:val="00E81D19"/>
    <w:rsid w:val="00E82CF3"/>
    <w:rsid w:val="00E830B7"/>
    <w:rsid w:val="00E83BBB"/>
    <w:rsid w:val="00E8764B"/>
    <w:rsid w:val="00E87709"/>
    <w:rsid w:val="00E879F6"/>
    <w:rsid w:val="00E91109"/>
    <w:rsid w:val="00E91422"/>
    <w:rsid w:val="00E91CE1"/>
    <w:rsid w:val="00E92288"/>
    <w:rsid w:val="00E93AA2"/>
    <w:rsid w:val="00E93E6D"/>
    <w:rsid w:val="00E95DFF"/>
    <w:rsid w:val="00EA00C9"/>
    <w:rsid w:val="00EA0C09"/>
    <w:rsid w:val="00EA2C94"/>
    <w:rsid w:val="00EA319D"/>
    <w:rsid w:val="00EA4571"/>
    <w:rsid w:val="00EA5725"/>
    <w:rsid w:val="00EB0540"/>
    <w:rsid w:val="00EB10C1"/>
    <w:rsid w:val="00EB1D21"/>
    <w:rsid w:val="00EB2402"/>
    <w:rsid w:val="00EB3B36"/>
    <w:rsid w:val="00EB3B5F"/>
    <w:rsid w:val="00EB5384"/>
    <w:rsid w:val="00EB5DAF"/>
    <w:rsid w:val="00EB6190"/>
    <w:rsid w:val="00EB6BA5"/>
    <w:rsid w:val="00EB6EE4"/>
    <w:rsid w:val="00EB7571"/>
    <w:rsid w:val="00EB78BA"/>
    <w:rsid w:val="00EB7D4A"/>
    <w:rsid w:val="00EC1339"/>
    <w:rsid w:val="00EC29B8"/>
    <w:rsid w:val="00EC2BAA"/>
    <w:rsid w:val="00EC2DDC"/>
    <w:rsid w:val="00EC3C98"/>
    <w:rsid w:val="00EC533C"/>
    <w:rsid w:val="00EC67AE"/>
    <w:rsid w:val="00EC6BE5"/>
    <w:rsid w:val="00EC7713"/>
    <w:rsid w:val="00ED104F"/>
    <w:rsid w:val="00ED208C"/>
    <w:rsid w:val="00ED25A5"/>
    <w:rsid w:val="00ED28D8"/>
    <w:rsid w:val="00ED3424"/>
    <w:rsid w:val="00ED48AF"/>
    <w:rsid w:val="00ED4B55"/>
    <w:rsid w:val="00ED5E0B"/>
    <w:rsid w:val="00ED6BC4"/>
    <w:rsid w:val="00EE16EB"/>
    <w:rsid w:val="00EE2985"/>
    <w:rsid w:val="00EE4DB6"/>
    <w:rsid w:val="00EE549A"/>
    <w:rsid w:val="00EE5DB1"/>
    <w:rsid w:val="00EE788C"/>
    <w:rsid w:val="00EE7F94"/>
    <w:rsid w:val="00EF37FB"/>
    <w:rsid w:val="00EF46DD"/>
    <w:rsid w:val="00EF591E"/>
    <w:rsid w:val="00EF6902"/>
    <w:rsid w:val="00F00736"/>
    <w:rsid w:val="00F007D1"/>
    <w:rsid w:val="00F03C5B"/>
    <w:rsid w:val="00F101DA"/>
    <w:rsid w:val="00F1082F"/>
    <w:rsid w:val="00F11ED4"/>
    <w:rsid w:val="00F12E52"/>
    <w:rsid w:val="00F151E8"/>
    <w:rsid w:val="00F156C7"/>
    <w:rsid w:val="00F1578E"/>
    <w:rsid w:val="00F162EE"/>
    <w:rsid w:val="00F163C4"/>
    <w:rsid w:val="00F213AB"/>
    <w:rsid w:val="00F24D7B"/>
    <w:rsid w:val="00F25EDE"/>
    <w:rsid w:val="00F2702C"/>
    <w:rsid w:val="00F27559"/>
    <w:rsid w:val="00F279D8"/>
    <w:rsid w:val="00F30FFC"/>
    <w:rsid w:val="00F31F81"/>
    <w:rsid w:val="00F326DD"/>
    <w:rsid w:val="00F340D1"/>
    <w:rsid w:val="00F345BA"/>
    <w:rsid w:val="00F35910"/>
    <w:rsid w:val="00F40273"/>
    <w:rsid w:val="00F40544"/>
    <w:rsid w:val="00F413EB"/>
    <w:rsid w:val="00F41795"/>
    <w:rsid w:val="00F42559"/>
    <w:rsid w:val="00F426D2"/>
    <w:rsid w:val="00F431D4"/>
    <w:rsid w:val="00F44802"/>
    <w:rsid w:val="00F453E1"/>
    <w:rsid w:val="00F46E44"/>
    <w:rsid w:val="00F4728B"/>
    <w:rsid w:val="00F478D3"/>
    <w:rsid w:val="00F50483"/>
    <w:rsid w:val="00F51C6A"/>
    <w:rsid w:val="00F51CEE"/>
    <w:rsid w:val="00F51CF8"/>
    <w:rsid w:val="00F5410A"/>
    <w:rsid w:val="00F54CA9"/>
    <w:rsid w:val="00F5542F"/>
    <w:rsid w:val="00F556A6"/>
    <w:rsid w:val="00F55BE2"/>
    <w:rsid w:val="00F6021F"/>
    <w:rsid w:val="00F613AD"/>
    <w:rsid w:val="00F623B3"/>
    <w:rsid w:val="00F6459F"/>
    <w:rsid w:val="00F64670"/>
    <w:rsid w:val="00F65568"/>
    <w:rsid w:val="00F66D54"/>
    <w:rsid w:val="00F6740F"/>
    <w:rsid w:val="00F674DB"/>
    <w:rsid w:val="00F6798C"/>
    <w:rsid w:val="00F707D9"/>
    <w:rsid w:val="00F708FC"/>
    <w:rsid w:val="00F7391F"/>
    <w:rsid w:val="00F739BA"/>
    <w:rsid w:val="00F739E1"/>
    <w:rsid w:val="00F751A1"/>
    <w:rsid w:val="00F75357"/>
    <w:rsid w:val="00F769FE"/>
    <w:rsid w:val="00F76B03"/>
    <w:rsid w:val="00F77B11"/>
    <w:rsid w:val="00F77B83"/>
    <w:rsid w:val="00F77D92"/>
    <w:rsid w:val="00F8126B"/>
    <w:rsid w:val="00F82D90"/>
    <w:rsid w:val="00F838FF"/>
    <w:rsid w:val="00F859C6"/>
    <w:rsid w:val="00F864B8"/>
    <w:rsid w:val="00F87C4E"/>
    <w:rsid w:val="00F9156E"/>
    <w:rsid w:val="00F92542"/>
    <w:rsid w:val="00F94113"/>
    <w:rsid w:val="00F94658"/>
    <w:rsid w:val="00F96E70"/>
    <w:rsid w:val="00F97BAC"/>
    <w:rsid w:val="00F97F2E"/>
    <w:rsid w:val="00FA004E"/>
    <w:rsid w:val="00FA07B8"/>
    <w:rsid w:val="00FA1593"/>
    <w:rsid w:val="00FA3842"/>
    <w:rsid w:val="00FA3BD1"/>
    <w:rsid w:val="00FB0432"/>
    <w:rsid w:val="00FB0CEB"/>
    <w:rsid w:val="00FB1E5D"/>
    <w:rsid w:val="00FB1F84"/>
    <w:rsid w:val="00FB24D6"/>
    <w:rsid w:val="00FB4764"/>
    <w:rsid w:val="00FB4A0C"/>
    <w:rsid w:val="00FB62DF"/>
    <w:rsid w:val="00FB7FD9"/>
    <w:rsid w:val="00FC009E"/>
    <w:rsid w:val="00FC04F3"/>
    <w:rsid w:val="00FC0936"/>
    <w:rsid w:val="00FC3FF7"/>
    <w:rsid w:val="00FC46CC"/>
    <w:rsid w:val="00FC6446"/>
    <w:rsid w:val="00FD0281"/>
    <w:rsid w:val="00FD03B5"/>
    <w:rsid w:val="00FD0DD1"/>
    <w:rsid w:val="00FD3A63"/>
    <w:rsid w:val="00FD5FBE"/>
    <w:rsid w:val="00FD7074"/>
    <w:rsid w:val="00FD7AAC"/>
    <w:rsid w:val="00FD7C74"/>
    <w:rsid w:val="00FE004E"/>
    <w:rsid w:val="00FE05FE"/>
    <w:rsid w:val="00FE1587"/>
    <w:rsid w:val="00FE464A"/>
    <w:rsid w:val="00FF1489"/>
    <w:rsid w:val="00FF2156"/>
    <w:rsid w:val="00FF2C2D"/>
    <w:rsid w:val="00FF3DF7"/>
    <w:rsid w:val="00FF5C56"/>
    <w:rsid w:val="00FF6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67B17E-1522-45DA-B686-3C0EB0F3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Puest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uiPriority w:val="99"/>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uiPriority w:val="99"/>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39"/>
    <w:rsid w:val="00D42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
    <w:name w:val="Epígrafe"/>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 w:type="paragraph" w:customStyle="1" w:styleId="msonormal0">
    <w:name w:val="msonormal"/>
    <w:basedOn w:val="Normal"/>
    <w:rsid w:val="00924C30"/>
    <w:pPr>
      <w:spacing w:before="100" w:beforeAutospacing="1" w:after="100" w:afterAutospacing="1"/>
    </w:pPr>
  </w:style>
  <w:style w:type="paragraph" w:customStyle="1" w:styleId="xl69">
    <w:name w:val="xl69"/>
    <w:basedOn w:val="Normal"/>
    <w:rsid w:val="00924C30"/>
    <w:pPr>
      <w:spacing w:before="100" w:beforeAutospacing="1" w:after="100" w:afterAutospacing="1"/>
    </w:pPr>
    <w:rPr>
      <w:sz w:val="18"/>
      <w:szCs w:val="18"/>
    </w:rPr>
  </w:style>
  <w:style w:type="paragraph" w:customStyle="1" w:styleId="xl70">
    <w:name w:val="xl70"/>
    <w:basedOn w:val="Normal"/>
    <w:rsid w:val="00924C30"/>
    <w:pPr>
      <w:pBdr>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71">
    <w:name w:val="xl71"/>
    <w:basedOn w:val="Normal"/>
    <w:rsid w:val="00924C30"/>
    <w:pPr>
      <w:spacing w:before="100" w:beforeAutospacing="1" w:after="100" w:afterAutospacing="1"/>
    </w:pPr>
    <w:rPr>
      <w:sz w:val="18"/>
      <w:szCs w:val="18"/>
    </w:rPr>
  </w:style>
  <w:style w:type="paragraph" w:customStyle="1" w:styleId="xl72">
    <w:name w:val="xl72"/>
    <w:basedOn w:val="Normal"/>
    <w:rsid w:val="00924C30"/>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3">
    <w:name w:val="xl73"/>
    <w:basedOn w:val="Normal"/>
    <w:rsid w:val="00924C30"/>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74">
    <w:name w:val="xl74"/>
    <w:basedOn w:val="Normal"/>
    <w:rsid w:val="00924C3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75">
    <w:name w:val="xl75"/>
    <w:basedOn w:val="Normal"/>
    <w:rsid w:val="00924C3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76">
    <w:name w:val="xl76"/>
    <w:basedOn w:val="Normal"/>
    <w:rsid w:val="00924C30"/>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xl77">
    <w:name w:val="xl77"/>
    <w:basedOn w:val="Normal"/>
    <w:rsid w:val="00924C30"/>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sz w:val="18"/>
      <w:szCs w:val="18"/>
    </w:rPr>
  </w:style>
  <w:style w:type="paragraph" w:customStyle="1" w:styleId="p0">
    <w:name w:val="p0"/>
    <w:basedOn w:val="Normal"/>
    <w:rsid w:val="00E81757"/>
    <w:pPr>
      <w:keepLines/>
      <w:spacing w:before="240"/>
      <w:jc w:val="both"/>
    </w:pPr>
    <w:rPr>
      <w:rFonts w:ascii="Arial" w:hAnsi="Arial"/>
      <w:szCs w:val="20"/>
      <w:lang w:val="es-ES_tradnl" w:eastAsia="es-ES"/>
    </w:rPr>
  </w:style>
  <w:style w:type="paragraph" w:customStyle="1" w:styleId="p02">
    <w:name w:val="p02"/>
    <w:basedOn w:val="Normal"/>
    <w:next w:val="p0"/>
    <w:rsid w:val="00E81757"/>
    <w:pPr>
      <w:keepLines/>
      <w:spacing w:before="240"/>
      <w:ind w:right="11"/>
      <w:jc w:val="both"/>
    </w:pPr>
    <w:rPr>
      <w:rFonts w:ascii="Univers" w:hAnsi="Univers"/>
      <w:color w:val="0000FF"/>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1013580188">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07264452">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S:\notas-calendario\ITAEE\2018\3&#176;Trim%202018\Gr&#225;ficas_ITAEE_3er_T%20_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S:\notas-calendario\ITAEE\2018\3&#176;Trim%202018\Gr&#225;ficas_Contribuci&#243;n_ITAEE_3er_T_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spPr>
        <a:noFill/>
        <a:ln w="9525" cap="flat" cmpd="sng" algn="ctr">
          <a:solidFill>
            <a:schemeClr val="bg1">
              <a:lumMod val="50000"/>
            </a:schemeClr>
          </a:solidFill>
          <a:prstDash val="solid"/>
          <a:round/>
        </a:ln>
        <a:effectLst/>
        <a:sp3d contourW="9525">
          <a:contourClr>
            <a:schemeClr val="bg1">
              <a:lumMod val="50000"/>
            </a:schemeClr>
          </a:contourClr>
        </a:sp3d>
      </c:spPr>
    </c:floor>
    <c:sideWall>
      <c:thickness val="0"/>
      <c:spPr>
        <a:noFill/>
        <a:ln>
          <a:solidFill>
            <a:schemeClr val="bg1">
              <a:lumMod val="50000"/>
            </a:schemeClr>
          </a:solidFill>
        </a:ln>
        <a:effectLst/>
        <a:sp3d>
          <a:contourClr>
            <a:schemeClr val="bg1">
              <a:lumMod val="50000"/>
            </a:schemeClr>
          </a:contourClr>
        </a:sp3d>
      </c:spPr>
    </c:sideWall>
    <c:backWall>
      <c:thickness val="0"/>
      <c:spPr>
        <a:noFill/>
        <a:ln>
          <a:solidFill>
            <a:schemeClr val="bg1">
              <a:lumMod val="50000"/>
            </a:schemeClr>
          </a:solidFill>
        </a:ln>
        <a:effectLst/>
        <a:sp3d>
          <a:contourClr>
            <a:schemeClr val="bg1">
              <a:lumMod val="50000"/>
            </a:schemeClr>
          </a:contourClr>
        </a:sp3d>
      </c:spPr>
    </c:backWall>
    <c:plotArea>
      <c:layout>
        <c:manualLayout>
          <c:layoutTarget val="inner"/>
          <c:xMode val="edge"/>
          <c:yMode val="edge"/>
          <c:x val="0.38165295815295813"/>
          <c:y val="3.8766788766788768E-2"/>
          <c:w val="0.55954329004329006"/>
          <c:h val="0.90195526695526695"/>
        </c:manualLayout>
      </c:layout>
      <c:bar3DChart>
        <c:barDir val="bar"/>
        <c:grouping val="clustered"/>
        <c:varyColors val="0"/>
        <c:ser>
          <c:idx val="0"/>
          <c:order val="0"/>
          <c:tx>
            <c:v>Total</c:v>
          </c:tx>
          <c:spPr>
            <a:solidFill>
              <a:schemeClr val="accent1"/>
            </a:solidFill>
            <a:ln>
              <a:noFill/>
            </a:ln>
            <a:effectLst/>
            <a:sp3d/>
          </c:spPr>
          <c:invertIfNegative val="0"/>
          <c:dPt>
            <c:idx val="10"/>
            <c:invertIfNegative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01-F705-4259-98BC-5E9AB3C6969B}"/>
              </c:ext>
            </c:extLst>
          </c:dPt>
          <c:dPt>
            <c:idx val="11"/>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3-F705-4259-98BC-5E9AB3C6969B}"/>
              </c:ext>
            </c:extLst>
          </c:dPt>
          <c:dPt>
            <c:idx val="12"/>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5-F705-4259-98BC-5E9AB3C6969B}"/>
              </c:ext>
            </c:extLst>
          </c:dPt>
          <c:dPt>
            <c:idx val="13"/>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7-F705-4259-98BC-5E9AB3C6969B}"/>
              </c:ext>
            </c:extLst>
          </c:dPt>
          <c:dPt>
            <c:idx val="14"/>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9-F705-4259-98BC-5E9AB3C6969B}"/>
              </c:ext>
            </c:extLst>
          </c:dPt>
          <c:dPt>
            <c:idx val="15"/>
            <c:invertIfNegative val="0"/>
            <c:bubble3D val="0"/>
            <c:spPr>
              <a:solidFill>
                <a:schemeClr val="tx2">
                  <a:lumMod val="60000"/>
                  <a:lumOff val="40000"/>
                </a:schemeClr>
              </a:solidFill>
              <a:ln>
                <a:noFill/>
              </a:ln>
              <a:effectLst/>
              <a:sp3d/>
            </c:spPr>
            <c:extLst xmlns:c16r2="http://schemas.microsoft.com/office/drawing/2015/06/chart">
              <c:ext xmlns:c16="http://schemas.microsoft.com/office/drawing/2014/chart" uri="{C3380CC4-5D6E-409C-BE32-E72D297353CC}">
                <c16:uniqueId val="{0000000B-F705-4259-98BC-5E9AB3C6969B}"/>
              </c:ext>
            </c:extLst>
          </c:dPt>
          <c:dPt>
            <c:idx val="16"/>
            <c:invertIfNegative val="0"/>
            <c:bubble3D val="0"/>
            <c:spPr>
              <a:solidFill>
                <a:schemeClr val="tx2">
                  <a:lumMod val="75000"/>
                </a:schemeClr>
              </a:solidFill>
              <a:ln>
                <a:noFill/>
              </a:ln>
              <a:effectLst>
                <a:outerShdw blurRad="50800" dist="50800" dir="5400000" algn="ctr" rotWithShape="0">
                  <a:schemeClr val="accent5">
                    <a:lumMod val="20000"/>
                    <a:lumOff val="80000"/>
                  </a:schemeClr>
                </a:outerShdw>
              </a:effectLst>
              <a:sp3d/>
            </c:spPr>
            <c:extLst xmlns:c16r2="http://schemas.microsoft.com/office/drawing/2015/06/chart">
              <c:ext xmlns:c16="http://schemas.microsoft.com/office/drawing/2014/chart" uri="{C3380CC4-5D6E-409C-BE32-E72D297353CC}">
                <c16:uniqueId val="{0000000D-F705-4259-98BC-5E9AB3C6969B}"/>
              </c:ext>
            </c:extLst>
          </c:dPt>
          <c:dPt>
            <c:idx val="17"/>
            <c:invertIfNegative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0F-F705-4259-98BC-5E9AB3C6969B}"/>
              </c:ext>
            </c:extLst>
          </c:dPt>
          <c:dPt>
            <c:idx val="18"/>
            <c:invertIfNegative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11-F705-4259-98BC-5E9AB3C6969B}"/>
              </c:ext>
            </c:extLst>
          </c:dPt>
          <c:dPt>
            <c:idx val="19"/>
            <c:invertIfNegative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13-F705-4259-98BC-5E9AB3C6969B}"/>
              </c:ext>
            </c:extLst>
          </c:dPt>
          <c:dLbls>
            <c:dLbl>
              <c:idx val="0"/>
              <c:layout>
                <c:manualLayout>
                  <c:x val="-2.1249126873253654E-2"/>
                  <c:y val="-6.0542593243492976E-3"/>
                </c:manualLayout>
              </c:layout>
              <c:numFmt formatCode="#,##0.0" sourceLinked="0"/>
              <c:spPr>
                <a:noFill/>
                <a:ln>
                  <a:noFill/>
                </a:ln>
                <a:effectLst/>
              </c:spPr>
              <c:txPr>
                <a:bodyPr rot="0" spcFirstLastPara="1" vertOverflow="ellipsis" vert="horz" wrap="square" anchor="ctr" anchorCtr="0"/>
                <a:lstStyle/>
                <a:p>
                  <a:pPr algn="l">
                    <a:defRPr sz="600" b="0" i="0" u="none" strike="noStrike" kern="1200" baseline="0">
                      <a:solidFill>
                        <a:schemeClr val="tx1"/>
                      </a:solidFill>
                      <a:latin typeface="Arial" pitchFamily="34" charset="0"/>
                      <a:ea typeface="+mn-ea"/>
                      <a:cs typeface="Arial" pitchFamily="34" charset="0"/>
                    </a:defRPr>
                  </a:pPr>
                  <a:endParaRPr lang="es-MX"/>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F705-4259-98BC-5E9AB3C6969B}"/>
                </c:ext>
                <c:ext xmlns:c15="http://schemas.microsoft.com/office/drawing/2012/chart" uri="{CE6537A1-D6FC-4f65-9D91-7224C49458BB}"/>
              </c:extLst>
            </c:dLbl>
            <c:dLbl>
              <c:idx val="1"/>
              <c:layout>
                <c:manualLayout>
                  <c:x val="-2.2901154401154401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F705-4259-98BC-5E9AB3C6969B}"/>
                </c:ext>
                <c:ext xmlns:c15="http://schemas.microsoft.com/office/drawing/2012/chart" uri="{CE6537A1-D6FC-4f65-9D91-7224C49458BB}"/>
              </c:extLst>
            </c:dLbl>
            <c:dLbl>
              <c:idx val="2"/>
              <c:layout>
                <c:manualLayout>
                  <c:x val="-2.4367243867243784E-2"/>
                  <c:y val="-2.01798201798201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F705-4259-98BC-5E9AB3C6969B}"/>
                </c:ext>
                <c:ext xmlns:c15="http://schemas.microsoft.com/office/drawing/2012/chart" uri="{CE6537A1-D6FC-4f65-9D91-7224C49458BB}"/>
              </c:extLst>
            </c:dLbl>
            <c:dLbl>
              <c:idx val="3"/>
              <c:layout>
                <c:manualLayout>
                  <c:x val="-1.9788600288600289E-2"/>
                  <c:y val="-5.54223554223554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F705-4259-98BC-5E9AB3C6969B}"/>
                </c:ext>
                <c:ext xmlns:c15="http://schemas.microsoft.com/office/drawing/2012/chart" uri="{CE6537A1-D6FC-4f65-9D91-7224C49458BB}"/>
              </c:extLst>
            </c:dLbl>
            <c:dLbl>
              <c:idx val="4"/>
              <c:layout>
                <c:manualLayout>
                  <c:x val="-8.8968837312674534E-2"/>
                  <c:y val="-2.474173010932308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F705-4259-98BC-5E9AB3C6969B}"/>
                </c:ext>
                <c:ext xmlns:c15="http://schemas.microsoft.com/office/drawing/2012/chart" uri="{CE6537A1-D6FC-4f65-9D91-7224C49458BB}"/>
              </c:extLst>
            </c:dLbl>
            <c:dLbl>
              <c:idx val="5"/>
              <c:layout>
                <c:manualLayout>
                  <c:x val="-1.8322510822510824E-2"/>
                  <c:y val="-7.048507048507048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F705-4259-98BC-5E9AB3C6969B}"/>
                </c:ext>
                <c:ext xmlns:c15="http://schemas.microsoft.com/office/drawing/2012/chart" uri="{CE6537A1-D6FC-4f65-9D91-7224C49458BB}"/>
              </c:extLst>
            </c:dLbl>
            <c:dLbl>
              <c:idx val="6"/>
              <c:layout>
                <c:manualLayout>
                  <c:x val="-1.8322871572871487E-2"/>
                  <c:y val="-7.048507048507048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F705-4259-98BC-5E9AB3C6969B}"/>
                </c:ext>
                <c:ext xmlns:c15="http://schemas.microsoft.com/office/drawing/2012/chart" uri="{CE6537A1-D6FC-4f65-9D91-7224C49458BB}"/>
              </c:extLst>
            </c:dLbl>
            <c:dLbl>
              <c:idx val="7"/>
              <c:layout>
                <c:manualLayout>
                  <c:x val="-3.4358225108225109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F705-4259-98BC-5E9AB3C6969B}"/>
                </c:ext>
                <c:ext xmlns:c15="http://schemas.microsoft.com/office/drawing/2012/chart" uri="{CE6537A1-D6FC-4f65-9D91-7224C49458BB}">
                  <c15:layout>
                    <c:manualLayout>
                      <c:w val="0.10232864357864357"/>
                      <c:h val="3.1348373848373849E-2"/>
                    </c:manualLayout>
                  </c15:layout>
                </c:ext>
              </c:extLst>
            </c:dLbl>
            <c:dLbl>
              <c:idx val="8"/>
              <c:layout>
                <c:manualLayout>
                  <c:x val="-1.8325036075036244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F705-4259-98BC-5E9AB3C6969B}"/>
                </c:ext>
                <c:ext xmlns:c15="http://schemas.microsoft.com/office/drawing/2012/chart" uri="{CE6537A1-D6FC-4f65-9D91-7224C49458BB}"/>
              </c:extLst>
            </c:dLbl>
            <c:dLbl>
              <c:idx val="9"/>
              <c:layout>
                <c:manualLayout>
                  <c:x val="-1.8326118326118409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F705-4259-98BC-5E9AB3C6969B}"/>
                </c:ext>
                <c:ext xmlns:c15="http://schemas.microsoft.com/office/drawing/2012/chart" uri="{CE6537A1-D6FC-4f65-9D91-7224C49458BB}"/>
              </c:extLst>
            </c:dLbl>
            <c:dLbl>
              <c:idx val="10"/>
              <c:layout>
                <c:manualLayout>
                  <c:x val="-3.8942279942279945E-2"/>
                  <c:y val="-3.524114774114774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705-4259-98BC-5E9AB3C6969B}"/>
                </c:ext>
                <c:ext xmlns:c15="http://schemas.microsoft.com/office/drawing/2012/chart" uri="{CE6537A1-D6FC-4f65-9D91-7224C49458BB}">
                  <c15:layout>
                    <c:manualLayout>
                      <c:w val="0.10691017316017316"/>
                      <c:h val="3.487262737262737E-2"/>
                    </c:manualLayout>
                  </c15:layout>
                </c:ext>
              </c:extLst>
            </c:dLbl>
            <c:dLbl>
              <c:idx val="11"/>
              <c:layout>
                <c:manualLayout>
                  <c:x val="-1.8325036075036161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705-4259-98BC-5E9AB3C6969B}"/>
                </c:ext>
                <c:ext xmlns:c15="http://schemas.microsoft.com/office/drawing/2012/chart" uri="{CE6537A1-D6FC-4f65-9D91-7224C49458BB}"/>
              </c:extLst>
            </c:dLbl>
            <c:dLbl>
              <c:idx val="12"/>
              <c:layout>
                <c:manualLayout>
                  <c:x val="-1.8326118326118326E-2"/>
                  <c:y val="-3.52425352425358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705-4259-98BC-5E9AB3C6969B}"/>
                </c:ext>
                <c:ext xmlns:c15="http://schemas.microsoft.com/office/drawing/2012/chart" uri="{CE6537A1-D6FC-4f65-9D91-7224C49458BB}"/>
              </c:extLst>
            </c:dLbl>
            <c:dLbl>
              <c:idx val="13"/>
              <c:layout>
                <c:manualLayout>
                  <c:x val="-1.8326118326118409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705-4259-98BC-5E9AB3C6969B}"/>
                </c:ext>
                <c:ext xmlns:c15="http://schemas.microsoft.com/office/drawing/2012/chart" uri="{CE6537A1-D6FC-4f65-9D91-7224C49458BB}"/>
              </c:extLst>
            </c:dLbl>
            <c:dLbl>
              <c:idx val="14"/>
              <c:layout>
                <c:manualLayout>
                  <c:x val="-1.832611832611832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705-4259-98BC-5E9AB3C6969B}"/>
                </c:ext>
                <c:ext xmlns:c15="http://schemas.microsoft.com/office/drawing/2012/chart" uri="{CE6537A1-D6FC-4f65-9D91-7224C49458BB}"/>
              </c:extLst>
            </c:dLbl>
            <c:dLbl>
              <c:idx val="15"/>
              <c:layout>
                <c:manualLayout>
                  <c:x val="-1.374458874458866E-2"/>
                  <c:y val="-3.52425352425358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F705-4259-98BC-5E9AB3C6969B}"/>
                </c:ext>
                <c:ext xmlns:c15="http://schemas.microsoft.com/office/drawing/2012/chart" uri="{CE6537A1-D6FC-4f65-9D91-7224C49458BB}"/>
              </c:extLst>
            </c:dLbl>
            <c:dLbl>
              <c:idx val="16"/>
              <c:layout>
                <c:manualLayout>
                  <c:x val="-1.3744588744588745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F705-4259-98BC-5E9AB3C6969B}"/>
                </c:ext>
                <c:ext xmlns:c15="http://schemas.microsoft.com/office/drawing/2012/chart" uri="{CE6537A1-D6FC-4f65-9D91-7224C49458BB}"/>
              </c:extLst>
            </c:dLbl>
            <c:dLbl>
              <c:idx val="17"/>
              <c:layout>
                <c:manualLayout>
                  <c:x val="-1.3744588744588828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F705-4259-98BC-5E9AB3C6969B}"/>
                </c:ext>
                <c:ext xmlns:c15="http://schemas.microsoft.com/office/drawing/2012/chart" uri="{CE6537A1-D6FC-4f65-9D91-7224C49458BB}"/>
              </c:extLst>
            </c:dLbl>
            <c:dLbl>
              <c:idx val="18"/>
              <c:layout>
                <c:manualLayout>
                  <c:x val="-1.8326118326118326E-2"/>
                  <c:y val="-3.52425352425358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F705-4259-98BC-5E9AB3C6969B}"/>
                </c:ext>
                <c:ext xmlns:c15="http://schemas.microsoft.com/office/drawing/2012/chart" uri="{CE6537A1-D6FC-4f65-9D91-7224C49458BB}"/>
              </c:extLst>
            </c:dLbl>
            <c:dLbl>
              <c:idx val="19"/>
              <c:layout>
                <c:manualLayout>
                  <c:x val="-1.832611832611832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F705-4259-98BC-5E9AB3C6969B}"/>
                </c:ext>
                <c:ext xmlns:c15="http://schemas.microsoft.com/office/drawing/2012/chart" uri="{CE6537A1-D6FC-4f65-9D91-7224C49458BB}"/>
              </c:extLst>
            </c:dLbl>
            <c:dLbl>
              <c:idx val="20"/>
              <c:layout>
                <c:manualLayout>
                  <c:x val="-1.3744588744588745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F705-4259-98BC-5E9AB3C6969B}"/>
                </c:ext>
                <c:ext xmlns:c15="http://schemas.microsoft.com/office/drawing/2012/chart" uri="{CE6537A1-D6FC-4f65-9D91-7224C49458BB}"/>
              </c:extLst>
            </c:dLbl>
            <c:dLbl>
              <c:idx val="21"/>
              <c:layout>
                <c:manualLayout>
                  <c:x val="-1.3744588744588828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F705-4259-98BC-5E9AB3C6969B}"/>
                </c:ext>
                <c:ext xmlns:c15="http://schemas.microsoft.com/office/drawing/2012/chart" uri="{CE6537A1-D6FC-4f65-9D91-7224C49458BB}"/>
              </c:extLst>
            </c:dLbl>
            <c:dLbl>
              <c:idx val="22"/>
              <c:layout>
                <c:manualLayout>
                  <c:x val="-1.8326118326118326E-2"/>
                  <c:y val="-3.52425352425358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F705-4259-98BC-5E9AB3C6969B}"/>
                </c:ext>
                <c:ext xmlns:c15="http://schemas.microsoft.com/office/drawing/2012/chart" uri="{CE6537A1-D6FC-4f65-9D91-7224C49458BB}"/>
              </c:extLst>
            </c:dLbl>
            <c:dLbl>
              <c:idx val="23"/>
              <c:layout>
                <c:manualLayout>
                  <c:x val="-1.8326118326118409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F705-4259-98BC-5E9AB3C6969B}"/>
                </c:ext>
                <c:ext xmlns:c15="http://schemas.microsoft.com/office/drawing/2012/chart" uri="{CE6537A1-D6FC-4f65-9D91-7224C49458BB}"/>
              </c:extLst>
            </c:dLbl>
            <c:dLbl>
              <c:idx val="24"/>
              <c:layout>
                <c:manualLayout>
                  <c:x val="-1.8326118326118326E-2"/>
                  <c:y val="-3.524253524253556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F705-4259-98BC-5E9AB3C6969B}"/>
                </c:ext>
                <c:ext xmlns:c15="http://schemas.microsoft.com/office/drawing/2012/chart" uri="{CE6537A1-D6FC-4f65-9D91-7224C49458BB}"/>
              </c:extLst>
            </c:dLbl>
            <c:dLbl>
              <c:idx val="25"/>
              <c:layout>
                <c:manualLayout>
                  <c:x val="-1.832611832611849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F705-4259-98BC-5E9AB3C6969B}"/>
                </c:ext>
                <c:ext xmlns:c15="http://schemas.microsoft.com/office/drawing/2012/chart" uri="{CE6537A1-D6FC-4f65-9D91-7224C49458BB}"/>
              </c:extLst>
            </c:dLbl>
            <c:dLbl>
              <c:idx val="26"/>
              <c:layout>
                <c:manualLayout>
                  <c:x val="-1.832611832611832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4-F705-4259-98BC-5E9AB3C6969B}"/>
                </c:ext>
                <c:ext xmlns:c15="http://schemas.microsoft.com/office/drawing/2012/chart" uri="{CE6537A1-D6FC-4f65-9D91-7224C49458BB}"/>
              </c:extLst>
            </c:dLbl>
            <c:dLbl>
              <c:idx val="27"/>
              <c:layout>
                <c:manualLayout>
                  <c:x val="-1.832611832611849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5-F705-4259-98BC-5E9AB3C6969B}"/>
                </c:ext>
                <c:ext xmlns:c15="http://schemas.microsoft.com/office/drawing/2012/chart" uri="{CE6537A1-D6FC-4f65-9D91-7224C49458BB}"/>
              </c:extLst>
            </c:dLbl>
            <c:dLbl>
              <c:idx val="28"/>
              <c:layout>
                <c:manualLayout>
                  <c:x val="-1.832611832611832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6-F705-4259-98BC-5E9AB3C6969B}"/>
                </c:ext>
                <c:ext xmlns:c15="http://schemas.microsoft.com/office/drawing/2012/chart" uri="{CE6537A1-D6FC-4f65-9D91-7224C49458BB}"/>
              </c:extLst>
            </c:dLbl>
            <c:dLbl>
              <c:idx val="29"/>
              <c:layout>
                <c:manualLayout>
                  <c:x val="-1.8326118326118496E-2"/>
                  <c:y val="-3.524253524253540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7-F705-4259-98BC-5E9AB3C6969B}"/>
                </c:ext>
                <c:ext xmlns:c15="http://schemas.microsoft.com/office/drawing/2012/chart" uri="{CE6537A1-D6FC-4f65-9D91-7224C49458BB}"/>
              </c:extLst>
            </c:dLbl>
            <c:dLbl>
              <c:idx val="30"/>
              <c:layout>
                <c:manualLayout>
                  <c:x val="-1.8326118326118326E-2"/>
                  <c:y val="-3.52425352425352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8-F705-4259-98BC-5E9AB3C6969B}"/>
                </c:ext>
                <c:ext xmlns:c15="http://schemas.microsoft.com/office/drawing/2012/chart" uri="{CE6537A1-D6FC-4f65-9D91-7224C49458BB}"/>
              </c:extLst>
            </c:dLbl>
            <c:dLbl>
              <c:idx val="31"/>
              <c:layout>
                <c:manualLayout>
                  <c:x val="-1.8326118326118326E-2"/>
                  <c:y val="-3.524253524253540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9-F705-4259-98BC-5E9AB3C6969B}"/>
                </c:ext>
                <c:ext xmlns:c15="http://schemas.microsoft.com/office/drawing/2012/chart" uri="{CE6537A1-D6FC-4f65-9D91-7224C49458BB}"/>
              </c:extLst>
            </c:dLbl>
            <c:dLbl>
              <c:idx val="32"/>
              <c:layout>
                <c:manualLayout>
                  <c:x val="-1.3744588744588745E-2"/>
                  <c:y val="-5.542513042513042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A-F705-4259-98BC-5E9AB3C6969B}"/>
                </c:ext>
                <c:ext xmlns:c15="http://schemas.microsoft.com/office/drawing/2012/chart" uri="{CE6537A1-D6FC-4f65-9D91-7224C49458BB}"/>
              </c:extLst>
            </c:dLbl>
            <c:numFmt formatCode="#,##0.0" sourceLinked="0"/>
            <c:spPr>
              <a:noFill/>
              <a:ln>
                <a:noFill/>
              </a:ln>
              <a:effectLst/>
            </c:spPr>
            <c:txPr>
              <a:bodyPr rot="0" spcFirstLastPara="1" vertOverflow="ellipsis" vert="horz" wrap="square" anchor="ctr" anchorCtr="1"/>
              <a:lstStyle/>
              <a:p>
                <a:pPr>
                  <a:defRPr sz="600" b="0" i="0" u="none" strike="noStrike" kern="1200" baseline="0">
                    <a:solidFill>
                      <a:schemeClr val="tx1"/>
                    </a:solidFill>
                    <a:latin typeface="Arial" pitchFamily="34" charset="0"/>
                    <a:ea typeface="+mn-ea"/>
                    <a:cs typeface="Arial"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'Variaciones por EF'!$B$6:$B$38</c:f>
              <c:strCache>
                <c:ptCount val="33"/>
                <c:pt idx="0">
                  <c:v>Tabasco</c:v>
                </c:pt>
                <c:pt idx="1">
                  <c:v>Tlaxcala</c:v>
                </c:pt>
                <c:pt idx="2">
                  <c:v>Michoacán de Ocampo</c:v>
                </c:pt>
                <c:pt idx="3">
                  <c:v>Sonora</c:v>
                </c:pt>
                <c:pt idx="4">
                  <c:v>Sinaloa</c:v>
                </c:pt>
                <c:pt idx="5">
                  <c:v>Coahuila de Zaragoza</c:v>
                </c:pt>
                <c:pt idx="6">
                  <c:v>Guanajuato</c:v>
                </c:pt>
                <c:pt idx="7">
                  <c:v>Durango</c:v>
                </c:pt>
                <c:pt idx="8">
                  <c:v>Zacatecas</c:v>
                </c:pt>
                <c:pt idx="9">
                  <c:v>Nayarit</c:v>
                </c:pt>
                <c:pt idx="10">
                  <c:v>Chiapas</c:v>
                </c:pt>
                <c:pt idx="11">
                  <c:v>Tamaulipas</c:v>
                </c:pt>
                <c:pt idx="12">
                  <c:v>Chihuahua</c:v>
                </c:pt>
                <c:pt idx="13">
                  <c:v>Guerrero</c:v>
                </c:pt>
                <c:pt idx="14">
                  <c:v>Baja California</c:v>
                </c:pt>
                <c:pt idx="15">
                  <c:v>Colima</c:v>
                </c:pt>
                <c:pt idx="16">
                  <c:v>Nacional</c:v>
                </c:pt>
                <c:pt idx="17">
                  <c:v>Jalisco</c:v>
                </c:pt>
                <c:pt idx="18">
                  <c:v>Querétaro</c:v>
                </c:pt>
                <c:pt idx="19">
                  <c:v>Hidalgo</c:v>
                </c:pt>
                <c:pt idx="20">
                  <c:v>Puebla</c:v>
                </c:pt>
                <c:pt idx="21">
                  <c:v>Estado de México</c:v>
                </c:pt>
                <c:pt idx="22">
                  <c:v>Quintana Roo</c:v>
                </c:pt>
                <c:pt idx="23">
                  <c:v>San Luis Potosí</c:v>
                </c:pt>
                <c:pt idx="24">
                  <c:v>Morelos</c:v>
                </c:pt>
                <c:pt idx="25">
                  <c:v>Ciudad de México</c:v>
                </c:pt>
                <c:pt idx="26">
                  <c:v>Nuevo León</c:v>
                </c:pt>
                <c:pt idx="27">
                  <c:v>Campeche</c:v>
                </c:pt>
                <c:pt idx="28">
                  <c:v>Yucatán</c:v>
                </c:pt>
                <c:pt idx="29">
                  <c:v>Oaxaca</c:v>
                </c:pt>
                <c:pt idx="30">
                  <c:v>Veracruz de Ignacio de la Llave</c:v>
                </c:pt>
                <c:pt idx="31">
                  <c:v>Aguascalientes</c:v>
                </c:pt>
                <c:pt idx="32">
                  <c:v>Baja California Sur</c:v>
                </c:pt>
              </c:strCache>
            </c:strRef>
          </c:cat>
          <c:val>
            <c:numRef>
              <c:f>'Variaciones por EF'!$C$6:$C$38</c:f>
              <c:numCache>
                <c:formatCode>#,##0.000_ ;\-#,##0.000\ </c:formatCode>
                <c:ptCount val="33"/>
                <c:pt idx="0">
                  <c:v>-6.4309673230115862</c:v>
                </c:pt>
                <c:pt idx="1">
                  <c:v>-2.6672938216314606</c:v>
                </c:pt>
                <c:pt idx="2">
                  <c:v>-1.6736148765726995</c:v>
                </c:pt>
                <c:pt idx="3">
                  <c:v>-0.37103551509613908</c:v>
                </c:pt>
                <c:pt idx="4">
                  <c:v>-3.2378491965019407E-2</c:v>
                </c:pt>
                <c:pt idx="5">
                  <c:v>0.44241099621969227</c:v>
                </c:pt>
                <c:pt idx="6">
                  <c:v>0.44886857801546398</c:v>
                </c:pt>
                <c:pt idx="7">
                  <c:v>0.59920545512841272</c:v>
                </c:pt>
                <c:pt idx="8">
                  <c:v>0.81682388698800423</c:v>
                </c:pt>
                <c:pt idx="9">
                  <c:v>0.87994236012987415</c:v>
                </c:pt>
                <c:pt idx="10">
                  <c:v>1.4098747891940775</c:v>
                </c:pt>
                <c:pt idx="11">
                  <c:v>1.6024627719400968</c:v>
                </c:pt>
                <c:pt idx="12">
                  <c:v>1.671182201503612</c:v>
                </c:pt>
                <c:pt idx="13">
                  <c:v>1.9370356639884818</c:v>
                </c:pt>
                <c:pt idx="14">
                  <c:v>2.0487312132036379</c:v>
                </c:pt>
                <c:pt idx="15">
                  <c:v>2.2575959625180815</c:v>
                </c:pt>
                <c:pt idx="16">
                  <c:v>2.495579553953803</c:v>
                </c:pt>
                <c:pt idx="17">
                  <c:v>2.5121507760967461</c:v>
                </c:pt>
                <c:pt idx="18">
                  <c:v>2.9501518429142521</c:v>
                </c:pt>
                <c:pt idx="19">
                  <c:v>2.9923368270296464</c:v>
                </c:pt>
                <c:pt idx="20">
                  <c:v>3.0881355160847619</c:v>
                </c:pt>
                <c:pt idx="21">
                  <c:v>3.122914612837917</c:v>
                </c:pt>
                <c:pt idx="22">
                  <c:v>3.6551118157544806</c:v>
                </c:pt>
                <c:pt idx="23">
                  <c:v>3.7286694953456276</c:v>
                </c:pt>
                <c:pt idx="24">
                  <c:v>3.7525314994824726</c:v>
                </c:pt>
                <c:pt idx="25">
                  <c:v>4.0284366600447044</c:v>
                </c:pt>
                <c:pt idx="26">
                  <c:v>4.2442395197635818</c:v>
                </c:pt>
                <c:pt idx="27">
                  <c:v>4.3133872874004027</c:v>
                </c:pt>
                <c:pt idx="28">
                  <c:v>4.3182888757624482</c:v>
                </c:pt>
                <c:pt idx="29">
                  <c:v>4.6703356300081111</c:v>
                </c:pt>
                <c:pt idx="30">
                  <c:v>5.0163350954003079</c:v>
                </c:pt>
                <c:pt idx="31">
                  <c:v>5.0363725972631954</c:v>
                </c:pt>
                <c:pt idx="32">
                  <c:v>5.6153923127651524</c:v>
                </c:pt>
              </c:numCache>
            </c:numRef>
          </c:val>
          <c:extLst xmlns:c16r2="http://schemas.microsoft.com/office/drawing/2015/06/chart">
            <c:ext xmlns:c16="http://schemas.microsoft.com/office/drawing/2014/chart" uri="{C3380CC4-5D6E-409C-BE32-E72D297353CC}">
              <c16:uniqueId val="{0000002B-F705-4259-98BC-5E9AB3C6969B}"/>
            </c:ext>
          </c:extLst>
        </c:ser>
        <c:dLbls>
          <c:showLegendKey val="0"/>
          <c:showVal val="0"/>
          <c:showCatName val="0"/>
          <c:showSerName val="0"/>
          <c:showPercent val="0"/>
          <c:showBubbleSize val="0"/>
        </c:dLbls>
        <c:gapWidth val="50"/>
        <c:shape val="cylinder"/>
        <c:axId val="2011407952"/>
        <c:axId val="2011408496"/>
        <c:axId val="0"/>
      </c:bar3DChart>
      <c:catAx>
        <c:axId val="2011407952"/>
        <c:scaling>
          <c:orientation val="minMax"/>
        </c:scaling>
        <c:delete val="0"/>
        <c:axPos val="l"/>
        <c:numFmt formatCode="General" sourceLinked="0"/>
        <c:majorTickMark val="out"/>
        <c:minorTickMark val="none"/>
        <c:tickLblPos val="low"/>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550" b="0" i="0" u="none" strike="noStrike" kern="1200" baseline="0">
                <a:solidFill>
                  <a:schemeClr val="tx1"/>
                </a:solidFill>
                <a:latin typeface="Arial" pitchFamily="34" charset="0"/>
                <a:ea typeface="+mn-ea"/>
                <a:cs typeface="Arial" pitchFamily="34" charset="0"/>
              </a:defRPr>
            </a:pPr>
            <a:endParaRPr lang="es-MX"/>
          </a:p>
        </c:txPr>
        <c:crossAx val="2011408496"/>
        <c:crossesAt val="0"/>
        <c:auto val="1"/>
        <c:lblAlgn val="ctr"/>
        <c:lblOffset val="100"/>
        <c:noMultiLvlLbl val="0"/>
      </c:catAx>
      <c:valAx>
        <c:axId val="2011408496"/>
        <c:scaling>
          <c:orientation val="minMax"/>
          <c:max val="10"/>
          <c:min val="-10"/>
        </c:scaling>
        <c:delete val="0"/>
        <c:axPos val="b"/>
        <c:numFmt formatCode="#,##0.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600" b="0" i="0" u="none" strike="noStrike" kern="1200" baseline="0">
                <a:solidFill>
                  <a:schemeClr val="tx1"/>
                </a:solidFill>
                <a:latin typeface="Arial" pitchFamily="34" charset="0"/>
                <a:ea typeface="+mn-ea"/>
                <a:cs typeface="Arial" pitchFamily="34" charset="0"/>
              </a:defRPr>
            </a:pPr>
            <a:endParaRPr lang="es-MX"/>
          </a:p>
        </c:txPr>
        <c:crossAx val="2011407952"/>
        <c:crosses val="autoZero"/>
        <c:crossBetween val="between"/>
        <c:majorUnit val="3"/>
        <c:minorUnit val="1"/>
      </c:valAx>
      <c:spPr>
        <a:noFill/>
        <a:ln>
          <a:noFill/>
        </a:ln>
        <a:effectLst>
          <a:outerShdw blurRad="50800" dist="12700" dir="5400000" algn="ctr" rotWithShape="0">
            <a:schemeClr val="bg1"/>
          </a:outerShdw>
        </a:effectLst>
      </c:spPr>
    </c:plotArea>
    <c:plotVisOnly val="1"/>
    <c:dispBlanksAs val="gap"/>
    <c:showDLblsOverMax val="0"/>
  </c:chart>
  <c:spPr>
    <a:noFill/>
    <a:ln w="9525" cap="flat" cmpd="sng" algn="ctr">
      <a:solidFill>
        <a:schemeClr val="tx1">
          <a:tint val="75000"/>
          <a:shade val="95000"/>
          <a:satMod val="105000"/>
        </a:schemeClr>
      </a:solidFill>
      <a:prstDash val="solid"/>
      <a:round/>
    </a:ln>
    <a:effectLst>
      <a:outerShdw blurRad="50800" dist="12700" dir="5400000" algn="ctr" rotWithShape="0">
        <a:schemeClr val="tx1"/>
      </a:outerShdw>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prstClr val="black"/>
          </a:solidFill>
        </a:ln>
      </c:spPr>
    </c:floor>
    <c:sideWall>
      <c:thickness val="0"/>
      <c:spPr>
        <a:ln>
          <a:solidFill>
            <a:schemeClr val="tx1"/>
          </a:solidFill>
        </a:ln>
      </c:spPr>
    </c:sideWall>
    <c:backWall>
      <c:thickness val="0"/>
      <c:spPr>
        <a:ln>
          <a:solidFill>
            <a:schemeClr val="tx1"/>
          </a:solidFill>
        </a:ln>
      </c:spPr>
    </c:backWall>
    <c:plotArea>
      <c:layout>
        <c:manualLayout>
          <c:layoutTarget val="inner"/>
          <c:xMode val="edge"/>
          <c:yMode val="edge"/>
          <c:x val="0.25571990606887252"/>
          <c:y val="2.6248914112154062E-2"/>
          <c:w val="0.7110656007115187"/>
          <c:h val="0.90685324011126556"/>
        </c:manualLayout>
      </c:layout>
      <c:bar3DChart>
        <c:barDir val="bar"/>
        <c:grouping val="stacked"/>
        <c:varyColors val="0"/>
        <c:ser>
          <c:idx val="0"/>
          <c:order val="0"/>
          <c:invertIfNegative val="0"/>
          <c:dLbls>
            <c:dLbl>
              <c:idx val="0"/>
              <c:layout>
                <c:manualLayout>
                  <c:x val="-7.1763347763347848E-2"/>
                  <c:y val="4.050394050394050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AE4-4DBA-AC4A-1260F57C905D}"/>
                </c:ext>
                <c:ext xmlns:c15="http://schemas.microsoft.com/office/drawing/2012/chart" uri="{CE6537A1-D6FC-4f65-9D91-7224C49458BB}"/>
              </c:extLst>
            </c:dLbl>
            <c:dLbl>
              <c:idx val="1"/>
              <c:layout>
                <c:manualLayout>
                  <c:x val="-4.6117243867243869E-2"/>
                  <c:y val="4.047619047619047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AE4-4DBA-AC4A-1260F57C905D}"/>
                </c:ext>
                <c:ext xmlns:c15="http://schemas.microsoft.com/office/drawing/2012/chart" uri="{CE6537A1-D6FC-4f65-9D91-7224C49458BB}"/>
              </c:extLst>
            </c:dLbl>
            <c:dLbl>
              <c:idx val="2"/>
              <c:layout>
                <c:manualLayout>
                  <c:x val="-4.6304473304473306E-2"/>
                  <c:y val="4.046509046509176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4AE4-4DBA-AC4A-1260F57C905D}"/>
                </c:ext>
                <c:ext xmlns:c15="http://schemas.microsoft.com/office/drawing/2012/chart" uri="{CE6537A1-D6FC-4f65-9D91-7224C49458BB}"/>
              </c:extLst>
            </c:dLbl>
            <c:dLbl>
              <c:idx val="3"/>
              <c:layout>
                <c:manualLayout>
                  <c:x val="-4.8146103896103895E-2"/>
                  <c:y val="2.02880452880452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4AE4-4DBA-AC4A-1260F57C905D}"/>
                </c:ext>
                <c:ext xmlns:c15="http://schemas.microsoft.com/office/drawing/2012/chart" uri="{CE6537A1-D6FC-4f65-9D91-7224C49458BB}"/>
              </c:extLst>
            </c:dLbl>
            <c:dLbl>
              <c:idx val="4"/>
              <c:layout>
                <c:manualLayout>
                  <c:x val="4.65003492506985E-2"/>
                  <c:y val="7.767724386499548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4AE4-4DBA-AC4A-1260F57C905D}"/>
                </c:ext>
                <c:ext xmlns:c15="http://schemas.microsoft.com/office/drawing/2012/chart" uri="{CE6537A1-D6FC-4f65-9D91-7224C49458BB}">
                  <c15:layout>
                    <c:manualLayout>
                      <c:w val="9.0118686868686862E-2"/>
                      <c:h val="3.1348373848373849E-2"/>
                    </c:manualLayout>
                  </c15:layout>
                </c:ext>
              </c:extLst>
            </c:dLbl>
            <c:dLbl>
              <c:idx val="5"/>
              <c:layout>
                <c:manualLayout>
                  <c:x val="4.9701152527305052E-2"/>
                  <c:y val="-1.244937571942945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AE4-4DBA-AC4A-1260F57C905D}"/>
                </c:ext>
                <c:ext xmlns:c15="http://schemas.microsoft.com/office/drawing/2012/chart" uri="{CE6537A1-D6FC-4f65-9D91-7224C49458BB}">
                  <c15:layout>
                    <c:manualLayout>
                      <c:w val="0.10844480519480519"/>
                      <c:h val="3.1348373848373849E-2"/>
                    </c:manualLayout>
                  </c15:layout>
                </c:ext>
              </c:extLst>
            </c:dLbl>
            <c:dLbl>
              <c:idx val="6"/>
              <c:layout>
                <c:manualLayout>
                  <c:x val="4.6445977266954534E-2"/>
                  <c:y val="2.025575151012243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4AE4-4DBA-AC4A-1260F57C905D}"/>
                </c:ext>
                <c:ext xmlns:c15="http://schemas.microsoft.com/office/drawing/2012/chart" uri="{CE6537A1-D6FC-4f65-9D91-7224C49458BB}"/>
              </c:extLst>
            </c:dLbl>
            <c:dLbl>
              <c:idx val="7"/>
              <c:layout>
                <c:manualLayout>
                  <c:x val="4.8096583693167383E-2"/>
                  <c:y val="7.0055670100602358E-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AE4-4DBA-AC4A-1260F57C905D}"/>
                </c:ext>
                <c:ext xmlns:c15="http://schemas.microsoft.com/office/drawing/2012/chart" uri="{CE6537A1-D6FC-4f65-9D91-7224C49458BB}"/>
              </c:extLst>
            </c:dLbl>
            <c:dLbl>
              <c:idx val="8"/>
              <c:layout>
                <c:manualLayout>
                  <c:x val="4.8779011620523241E-2"/>
                  <c:y val="-1.527213608193131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4AE4-4DBA-AC4A-1260F57C905D}"/>
                </c:ext>
                <c:ext xmlns:c15="http://schemas.microsoft.com/office/drawing/2012/chart" uri="{CE6537A1-D6FC-4f65-9D91-7224C49458BB}">
                  <c15:layout>
                    <c:manualLayout>
                      <c:w val="0.10615713106426211"/>
                      <c:h val="3.7940701498828985E-2"/>
                    </c:manualLayout>
                  </c15:layout>
                </c:ext>
              </c:extLst>
            </c:dLbl>
            <c:dLbl>
              <c:idx val="9"/>
              <c:layout>
                <c:manualLayout>
                  <c:x val="4.4128787878787878E-2"/>
                  <c:y val="-2.01659451659451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4AE4-4DBA-AC4A-1260F57C905D}"/>
                </c:ext>
                <c:ext xmlns:c15="http://schemas.microsoft.com/office/drawing/2012/chart" uri="{CE6537A1-D6FC-4f65-9D91-7224C49458BB}"/>
              </c:extLst>
            </c:dLbl>
            <c:dLbl>
              <c:idx val="10"/>
              <c:layout>
                <c:manualLayout>
                  <c:x val="4.7059163059163057E-2"/>
                  <c:y val="-2.017982017982147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4AE4-4DBA-AC4A-1260F57C905D}"/>
                </c:ext>
                <c:ext xmlns:c15="http://schemas.microsoft.com/office/drawing/2012/chart" uri="{CE6537A1-D6FC-4f65-9D91-7224C49458BB}"/>
              </c:extLst>
            </c:dLbl>
            <c:dLbl>
              <c:idx val="11"/>
              <c:layout>
                <c:manualLayout>
                  <c:x val="4.7059523809523808E-2"/>
                  <c:y val="-2.7750027762949862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4AE4-4DBA-AC4A-1260F57C905D}"/>
                </c:ext>
                <c:ext xmlns:c15="http://schemas.microsoft.com/office/drawing/2012/chart" uri="{CE6537A1-D6FC-4f65-9D91-7224C49458BB}"/>
              </c:extLst>
            </c:dLbl>
            <c:dLbl>
              <c:idx val="12"/>
              <c:layout>
                <c:manualLayout>
                  <c:x val="4.8522005772005772E-2"/>
                  <c:y val="1.504606504606504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4AE4-4DBA-AC4A-1260F57C905D}"/>
                </c:ext>
                <c:ext xmlns:c15="http://schemas.microsoft.com/office/drawing/2012/chart" uri="{CE6537A1-D6FC-4f65-9D91-7224C49458BB}"/>
              </c:extLst>
            </c:dLbl>
            <c:dLbl>
              <c:idx val="13"/>
              <c:layout>
                <c:manualLayout>
                  <c:x val="4.6870490620490618E-2"/>
                  <c:y val="-2.7750027762949862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4AE4-4DBA-AC4A-1260F57C905D}"/>
                </c:ext>
                <c:ext xmlns:c15="http://schemas.microsoft.com/office/drawing/2012/chart" uri="{CE6537A1-D6FC-4f65-9D91-7224C49458BB}"/>
              </c:extLst>
            </c:dLbl>
            <c:dLbl>
              <c:idx val="14"/>
              <c:layout>
                <c:manualLayout>
                  <c:x val="4.9427849927849841E-2"/>
                  <c:y val="2.7750027743566694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4AE4-4DBA-AC4A-1260F57C905D}"/>
                </c:ext>
                <c:ext xmlns:c15="http://schemas.microsoft.com/office/drawing/2012/chart" uri="{CE6537A1-D6FC-4f65-9D91-7224C49458BB}"/>
              </c:extLst>
            </c:dLbl>
            <c:dLbl>
              <c:idx val="15"/>
              <c:layout>
                <c:manualLayout>
                  <c:x val="4.7771645021645104E-2"/>
                  <c:y val="2.018259518259453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4AE4-4DBA-AC4A-1260F57C905D}"/>
                </c:ext>
                <c:ext xmlns:c15="http://schemas.microsoft.com/office/drawing/2012/chart" uri="{CE6537A1-D6FC-4f65-9D91-7224C49458BB}"/>
              </c:extLst>
            </c:dLbl>
            <c:dLbl>
              <c:idx val="16"/>
              <c:layout>
                <c:manualLayout>
                  <c:x val="4.777128427128427E-2"/>
                  <c:y val="8.325008325008325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4AE4-4DBA-AC4A-1260F57C905D}"/>
                </c:ext>
                <c:ext xmlns:c15="http://schemas.microsoft.com/office/drawing/2012/chart" uri="{CE6537A1-D6FC-4f65-9D91-7224C49458BB}"/>
              </c:extLst>
            </c:dLbl>
            <c:dLbl>
              <c:idx val="17"/>
              <c:layout>
                <c:manualLayout>
                  <c:x val="4.7581168831168828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4AE4-4DBA-AC4A-1260F57C905D}"/>
                </c:ext>
                <c:ext xmlns:c15="http://schemas.microsoft.com/office/drawing/2012/chart" uri="{CE6537A1-D6FC-4f65-9D91-7224C49458BB}"/>
              </c:extLst>
            </c:dLbl>
            <c:dLbl>
              <c:idx val="18"/>
              <c:layout>
                <c:manualLayout>
                  <c:x val="5.3626623376623377E-2"/>
                  <c:y val="-6.4610568224517046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4AE4-4DBA-AC4A-1260F57C905D}"/>
                </c:ext>
                <c:ext xmlns:c15="http://schemas.microsoft.com/office/drawing/2012/chart" uri="{CE6537A1-D6FC-4f65-9D91-7224C49458BB}"/>
              </c:extLst>
            </c:dLbl>
            <c:dLbl>
              <c:idx val="19"/>
              <c:layout>
                <c:manualLayout>
                  <c:x val="5.2878427128427045E-2"/>
                  <c:y val="-8.3250083256544311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4AE4-4DBA-AC4A-1260F57C905D}"/>
                </c:ext>
                <c:ext xmlns:c15="http://schemas.microsoft.com/office/drawing/2012/chart" uri="{CE6537A1-D6FC-4f65-9D91-7224C49458BB}"/>
              </c:extLst>
            </c:dLbl>
            <c:dLbl>
              <c:idx val="20"/>
              <c:layout>
                <c:manualLayout>
                  <c:x val="5.2692279942279943E-2"/>
                  <c:y val="-6.4610568224517046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4AE4-4DBA-AC4A-1260F57C905D}"/>
                </c:ext>
                <c:ext xmlns:c15="http://schemas.microsoft.com/office/drawing/2012/chart" uri="{CE6537A1-D6FC-4f65-9D91-7224C49458BB}"/>
              </c:extLst>
            </c:dLbl>
            <c:dLbl>
              <c:idx val="21"/>
              <c:layout>
                <c:manualLayout>
                  <c:x val="5.1945887445887365E-2"/>
                  <c:y val="-2.018259518259518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4AE4-4DBA-AC4A-1260F57C905D}"/>
                </c:ext>
                <c:ext xmlns:c15="http://schemas.microsoft.com/office/drawing/2012/chart" uri="{CE6537A1-D6FC-4f65-9D91-7224C49458BB}"/>
              </c:extLst>
            </c:dLbl>
            <c:dLbl>
              <c:idx val="22"/>
              <c:layout>
                <c:manualLayout>
                  <c:x val="5.1943362193362194E-2"/>
                  <c:y val="-3.524531024530992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4AE4-4DBA-AC4A-1260F57C905D}"/>
                </c:ext>
                <c:ext xmlns:c15="http://schemas.microsoft.com/office/drawing/2012/chart" uri="{CE6537A1-D6FC-4f65-9D91-7224C49458BB}"/>
              </c:extLst>
            </c:dLbl>
            <c:dLbl>
              <c:idx val="23"/>
              <c:layout>
                <c:manualLayout>
                  <c:x val="5.0931096681096598E-2"/>
                  <c:y val="-3.52466977466980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4AE4-4DBA-AC4A-1260F57C905D}"/>
                </c:ext>
                <c:ext xmlns:c15="http://schemas.microsoft.com/office/drawing/2012/chart" uri="{CE6537A1-D6FC-4f65-9D91-7224C49458BB}">
                  <c15:layout>
                    <c:manualLayout>
                      <c:w val="9.4700216450216451E-2"/>
                      <c:h val="3.487262737262737E-2"/>
                    </c:manualLayout>
                  </c15:layout>
                </c:ext>
              </c:extLst>
            </c:dLbl>
            <c:dLbl>
              <c:idx val="24"/>
              <c:layout>
                <c:manualLayout>
                  <c:x val="5.2848124098124095E-2"/>
                  <c:y val="-2.018259518259550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4AE4-4DBA-AC4A-1260F57C905D}"/>
                </c:ext>
                <c:ext xmlns:c15="http://schemas.microsoft.com/office/drawing/2012/chart" uri="{CE6537A1-D6FC-4f65-9D91-7224C49458BB}"/>
              </c:extLst>
            </c:dLbl>
            <c:dLbl>
              <c:idx val="25"/>
              <c:layout>
                <c:manualLayout>
                  <c:x val="5.8517676767676767E-2"/>
                  <c:y val="-2.019092019092051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4AE4-4DBA-AC4A-1260F57C905D}"/>
                </c:ext>
                <c:ext xmlns:c15="http://schemas.microsoft.com/office/drawing/2012/chart" uri="{CE6537A1-D6FC-4f65-9D91-7224C49458BB}"/>
              </c:extLst>
            </c:dLbl>
            <c:dLbl>
              <c:idx val="26"/>
              <c:layout>
                <c:manualLayout>
                  <c:x val="6.3096320346320345E-2"/>
                  <c:y val="-2.019092019092019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4AE4-4DBA-AC4A-1260F57C905D}"/>
                </c:ext>
                <c:ext xmlns:c15="http://schemas.microsoft.com/office/drawing/2012/chart" uri="{CE6537A1-D6FC-4f65-9D91-7224C49458BB}"/>
              </c:extLst>
            </c:dLbl>
            <c:dLbl>
              <c:idx val="27"/>
              <c:layout>
                <c:manualLayout>
                  <c:x val="7.2979437229437144E-2"/>
                  <c:y val="-4.036796536796536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4AE4-4DBA-AC4A-1260F57C905D}"/>
                </c:ext>
                <c:ext xmlns:c15="http://schemas.microsoft.com/office/drawing/2012/chart" uri="{CE6537A1-D6FC-4f65-9D91-7224C49458BB}"/>
              </c:extLst>
            </c:dLbl>
            <c:dLbl>
              <c:idx val="28"/>
              <c:layout>
                <c:manualLayout>
                  <c:x val="7.8465728715728711E-2"/>
                  <c:y val="-2.019924519924519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4AE4-4DBA-AC4A-1260F57C905D}"/>
                </c:ext>
                <c:ext xmlns:c15="http://schemas.microsoft.com/office/drawing/2012/chart" uri="{CE6537A1-D6FC-4f65-9D91-7224C49458BB}"/>
              </c:extLst>
            </c:dLbl>
            <c:dLbl>
              <c:idx val="29"/>
              <c:layout>
                <c:manualLayout>
                  <c:x val="9.1634559884559805E-2"/>
                  <c:y val="-3.52591852591852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4AE4-4DBA-AC4A-1260F57C905D}"/>
                </c:ext>
                <c:ext xmlns:c15="http://schemas.microsoft.com/office/drawing/2012/chart" uri="{CE6537A1-D6FC-4f65-9D91-7224C49458BB}"/>
              </c:extLst>
            </c:dLbl>
            <c:dLbl>
              <c:idx val="30"/>
              <c:layout>
                <c:manualLayout>
                  <c:x val="9.6934343434343428E-2"/>
                  <c:y val="-2.019924519924535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4AE4-4DBA-AC4A-1260F57C905D}"/>
                </c:ext>
                <c:ext xmlns:c15="http://schemas.microsoft.com/office/drawing/2012/chart" uri="{CE6537A1-D6FC-4f65-9D91-7224C49458BB}"/>
              </c:extLst>
            </c:dLbl>
            <c:dLbl>
              <c:idx val="31"/>
              <c:layout>
                <c:manualLayout>
                  <c:x val="0.16634415584415585"/>
                  <c:y val="-2.018537018537018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4AE4-4DBA-AC4A-1260F57C905D}"/>
                </c:ext>
                <c:ext xmlns:c15="http://schemas.microsoft.com/office/drawing/2012/chart" uri="{CE6537A1-D6FC-4f65-9D91-7224C49458BB}"/>
              </c:extLst>
            </c:dLbl>
            <c:numFmt formatCode="#,##0.00" sourceLinked="0"/>
            <c:spPr>
              <a:noFill/>
              <a:ln>
                <a:noFill/>
              </a:ln>
              <a:effectLst/>
            </c:spPr>
            <c:txPr>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'Var-Ponderadas-al-Nal.'!$L$7:$L$38</c:f>
              <c:strCache>
                <c:ptCount val="32"/>
                <c:pt idx="0">
                  <c:v>Tabasco</c:v>
                </c:pt>
                <c:pt idx="1">
                  <c:v>Michoacán de Ocampo</c:v>
                </c:pt>
                <c:pt idx="2">
                  <c:v>Tlaxcala</c:v>
                </c:pt>
                <c:pt idx="3">
                  <c:v>Sonora</c:v>
                </c:pt>
                <c:pt idx="4">
                  <c:v>Sinaloa</c:v>
                </c:pt>
                <c:pt idx="5">
                  <c:v>Nayarit</c:v>
                </c:pt>
                <c:pt idx="6">
                  <c:v>Durango</c:v>
                </c:pt>
                <c:pt idx="7">
                  <c:v>Zacatecas</c:v>
                </c:pt>
                <c:pt idx="8">
                  <c:v>Colima</c:v>
                </c:pt>
                <c:pt idx="9">
                  <c:v>Coahuila de Zaragoza</c:v>
                </c:pt>
                <c:pt idx="10">
                  <c:v>Guanajuato</c:v>
                </c:pt>
                <c:pt idx="11">
                  <c:v>Chiapas</c:v>
                </c:pt>
                <c:pt idx="12">
                  <c:v>Guerrero</c:v>
                </c:pt>
                <c:pt idx="13">
                  <c:v>Morelos</c:v>
                </c:pt>
                <c:pt idx="14">
                  <c:v>Hidalgo</c:v>
                </c:pt>
                <c:pt idx="15">
                  <c:v>Tamaulipas</c:v>
                </c:pt>
                <c:pt idx="16">
                  <c:v>Baja California Sur</c:v>
                </c:pt>
                <c:pt idx="17">
                  <c:v>Chihuahua</c:v>
                </c:pt>
                <c:pt idx="18">
                  <c:v>Quintana Roo</c:v>
                </c:pt>
                <c:pt idx="19">
                  <c:v>Yucatán</c:v>
                </c:pt>
                <c:pt idx="20">
                  <c:v>Oaxaca</c:v>
                </c:pt>
                <c:pt idx="21">
                  <c:v>Baja California</c:v>
                </c:pt>
                <c:pt idx="22">
                  <c:v>Aguascalientes</c:v>
                </c:pt>
                <c:pt idx="23">
                  <c:v>Querétaro</c:v>
                </c:pt>
                <c:pt idx="24">
                  <c:v>San Luis Potosí</c:v>
                </c:pt>
                <c:pt idx="25">
                  <c:v>Puebla</c:v>
                </c:pt>
                <c:pt idx="26">
                  <c:v>Campeche</c:v>
                </c:pt>
                <c:pt idx="27">
                  <c:v>Jalisco</c:v>
                </c:pt>
                <c:pt idx="28">
                  <c:v>Veracruz de Ignacio de la Llave</c:v>
                </c:pt>
                <c:pt idx="29">
                  <c:v>Estado de México</c:v>
                </c:pt>
                <c:pt idx="30">
                  <c:v>Nuevo León</c:v>
                </c:pt>
                <c:pt idx="31">
                  <c:v>Ciudad de México</c:v>
                </c:pt>
              </c:strCache>
            </c:strRef>
          </c:cat>
          <c:val>
            <c:numRef>
              <c:f>'Var-Ponderadas-al-Nal.'!$M$7:$M$38</c:f>
              <c:numCache>
                <c:formatCode>#,##0.000_ ;\-#,##0.000\ </c:formatCode>
                <c:ptCount val="32"/>
                <c:pt idx="0">
                  <c:v>-0.18698800670807253</c:v>
                </c:pt>
                <c:pt idx="1">
                  <c:v>-3.9799045515417582E-2</c:v>
                </c:pt>
                <c:pt idx="2">
                  <c:v>-1.4815289260076072E-2</c:v>
                </c:pt>
                <c:pt idx="3">
                  <c:v>-1.2067213716614244E-2</c:v>
                </c:pt>
                <c:pt idx="4">
                  <c:v>-6.8637722076481176E-4</c:v>
                </c:pt>
                <c:pt idx="5">
                  <c:v>6.0859067536645807E-3</c:v>
                </c:pt>
                <c:pt idx="6">
                  <c:v>7.0911364397837368E-3</c:v>
                </c:pt>
                <c:pt idx="7">
                  <c:v>7.739379357680173E-3</c:v>
                </c:pt>
                <c:pt idx="8">
                  <c:v>1.3903033850399911E-2</c:v>
                </c:pt>
                <c:pt idx="9">
                  <c:v>1.5815587524488119E-2</c:v>
                </c:pt>
                <c:pt idx="10">
                  <c:v>1.8839479671215943E-2</c:v>
                </c:pt>
                <c:pt idx="11">
                  <c:v>2.2469978168396298E-2</c:v>
                </c:pt>
                <c:pt idx="12">
                  <c:v>2.6391664406537872E-2</c:v>
                </c:pt>
                <c:pt idx="13">
                  <c:v>4.1876360958121528E-2</c:v>
                </c:pt>
                <c:pt idx="14">
                  <c:v>4.570148525070121E-2</c:v>
                </c:pt>
                <c:pt idx="15">
                  <c:v>4.6084932616359223E-2</c:v>
                </c:pt>
                <c:pt idx="16">
                  <c:v>5.1484970310951055E-2</c:v>
                </c:pt>
                <c:pt idx="17">
                  <c:v>5.4216251870459121E-2</c:v>
                </c:pt>
                <c:pt idx="18">
                  <c:v>5.9556825202036291E-2</c:v>
                </c:pt>
                <c:pt idx="19">
                  <c:v>6.3006047972947579E-2</c:v>
                </c:pt>
                <c:pt idx="20">
                  <c:v>6.4538165740253936E-2</c:v>
                </c:pt>
                <c:pt idx="21">
                  <c:v>6.5358416203650307E-2</c:v>
                </c:pt>
                <c:pt idx="22">
                  <c:v>6.5826918992898803E-2</c:v>
                </c:pt>
                <c:pt idx="23">
                  <c:v>6.8451084496112091E-2</c:v>
                </c:pt>
                <c:pt idx="24">
                  <c:v>7.6937788254251932E-2</c:v>
                </c:pt>
                <c:pt idx="25">
                  <c:v>0.10522089258766208</c:v>
                </c:pt>
                <c:pt idx="26">
                  <c:v>0.12939363933124173</c:v>
                </c:pt>
                <c:pt idx="27">
                  <c:v>0.17601858591326885</c:v>
                </c:pt>
                <c:pt idx="28">
                  <c:v>0.22503850234262482</c:v>
                </c:pt>
                <c:pt idx="29">
                  <c:v>0.2770141315928854</c:v>
                </c:pt>
                <c:pt idx="30">
                  <c:v>0.31615746002281425</c:v>
                </c:pt>
                <c:pt idx="31">
                  <c:v>0.69971685992175403</c:v>
                </c:pt>
              </c:numCache>
            </c:numRef>
          </c:val>
          <c:extLst xmlns:c16r2="http://schemas.microsoft.com/office/drawing/2015/06/chart">
            <c:ext xmlns:c16="http://schemas.microsoft.com/office/drawing/2014/chart" uri="{C3380CC4-5D6E-409C-BE32-E72D297353CC}">
              <c16:uniqueId val="{00000020-4AE4-4DBA-AC4A-1260F57C905D}"/>
            </c:ext>
          </c:extLst>
        </c:ser>
        <c:dLbls>
          <c:showLegendKey val="0"/>
          <c:showVal val="0"/>
          <c:showCatName val="0"/>
          <c:showSerName val="0"/>
          <c:showPercent val="0"/>
          <c:showBubbleSize val="0"/>
        </c:dLbls>
        <c:gapWidth val="31"/>
        <c:gapDepth val="48"/>
        <c:shape val="cylinder"/>
        <c:axId val="2011162880"/>
        <c:axId val="48277072"/>
        <c:axId val="0"/>
      </c:bar3DChart>
      <c:catAx>
        <c:axId val="2011162880"/>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8277072"/>
        <c:crosses val="autoZero"/>
        <c:auto val="1"/>
        <c:lblAlgn val="ctr"/>
        <c:lblOffset val="100"/>
        <c:noMultiLvlLbl val="0"/>
      </c:catAx>
      <c:valAx>
        <c:axId val="48277072"/>
        <c:scaling>
          <c:orientation val="minMax"/>
          <c:max val="1"/>
          <c:min val="-0.5"/>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2011162880"/>
        <c:crosses val="autoZero"/>
        <c:crossBetween val="between"/>
        <c:majorUnit val="0.25"/>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2.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4.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5.xml><?xml version="1.0" encoding="utf-8"?>
<ds:datastoreItem xmlns:ds="http://schemas.openxmlformats.org/officeDocument/2006/customXml" ds:itemID="{26091F13-D252-4BB1-9824-F3C3B9BB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894</Words>
  <Characters>4918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armando_godoy</dc:creator>
  <cp:keywords/>
  <cp:lastModifiedBy>Ramos Hernández, Antonio</cp:lastModifiedBy>
  <cp:revision>23</cp:revision>
  <cp:lastPrinted>2019-02-21T00:06:00Z</cp:lastPrinted>
  <dcterms:created xsi:type="dcterms:W3CDTF">2018-01-17T21:05:00Z</dcterms:created>
  <dcterms:modified xsi:type="dcterms:W3CDTF">2019-02-21T00:07:00Z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